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8D6BE5" wp14:editId="777103E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80FE8">
        <w:t>19 ноября 2014 года № 339-П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083F8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83F86" w:rsidRDefault="00083F8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proofErr w:type="gramStart"/>
      <w:r>
        <w:rPr>
          <w:b/>
          <w:bCs/>
          <w:szCs w:val="28"/>
        </w:rPr>
        <w:t xml:space="preserve">О распределении в 2014 году не использованных в 2013 году субсидий бюджетам муниципальных районов (городских округов) на предоставление социальных выплат молодым семьям на приобретение (строительство) жилья </w:t>
      </w:r>
      <w:r w:rsidR="00D73E1D">
        <w:rPr>
          <w:b/>
          <w:bCs/>
          <w:szCs w:val="28"/>
        </w:rPr>
        <w:t xml:space="preserve"> на реализацию мероприятий подпрограммы  «Обеспечение жильем молодых семей»</w:t>
      </w:r>
      <w:r>
        <w:rPr>
          <w:b/>
          <w:bCs/>
          <w:szCs w:val="28"/>
        </w:rPr>
        <w:t xml:space="preserve"> долгосрочной целевой программы «</w:t>
      </w:r>
      <w:r w:rsidR="00D73E1D">
        <w:rPr>
          <w:b/>
          <w:bCs/>
          <w:szCs w:val="28"/>
        </w:rPr>
        <w:t xml:space="preserve">Жилище» на 2011-2015 годы </w:t>
      </w:r>
      <w:r>
        <w:rPr>
          <w:b/>
          <w:bCs/>
          <w:szCs w:val="28"/>
        </w:rPr>
        <w:t>в рамках подпрограммы «Обеспечение жильем молодых семей» федеральной целевой программы «Жилище» на 2011-2015 годы</w:t>
      </w:r>
      <w:proofErr w:type="gramEnd"/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bookmarkEnd w:id="0"/>
    <w:p w:rsidR="007979F6" w:rsidRDefault="00083F86" w:rsidP="00083F8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083F86">
        <w:rPr>
          <w:bCs/>
          <w:szCs w:val="28"/>
        </w:rPr>
        <w:t>В целях</w:t>
      </w:r>
      <w:r>
        <w:rPr>
          <w:bCs/>
          <w:szCs w:val="28"/>
        </w:rPr>
        <w:t xml:space="preserve"> использования образовавшегося по состоянию </w:t>
      </w:r>
      <w:r>
        <w:rPr>
          <w:bCs/>
          <w:szCs w:val="28"/>
        </w:rPr>
        <w:br/>
        <w:t xml:space="preserve">на 1 сентября 2014 года остатка средств федерального бюджета, выделенных в 2013 году на реализацию мероприятий подпрограммы «Обеспечение жильем молодых семей» долгосрочной целевой программы «Жилище» на 2011-2015 годы в рамках подпрограммы «Обеспечение жильем молодых семей» федеральной целевой программы </w:t>
      </w:r>
      <w:r w:rsidR="00F21F33">
        <w:rPr>
          <w:bCs/>
          <w:szCs w:val="28"/>
        </w:rPr>
        <w:br/>
      </w:r>
      <w:r>
        <w:rPr>
          <w:bCs/>
          <w:szCs w:val="28"/>
        </w:rPr>
        <w:t xml:space="preserve">«Жилище» на 2011-2015 годы, Правительство Республики Карелия </w:t>
      </w:r>
      <w:r>
        <w:rPr>
          <w:bCs/>
          <w:szCs w:val="28"/>
        </w:rPr>
        <w:br/>
      </w:r>
      <w:proofErr w:type="gramStart"/>
      <w:r w:rsidRPr="00083F86">
        <w:rPr>
          <w:b/>
          <w:bCs/>
          <w:szCs w:val="28"/>
        </w:rPr>
        <w:t>п</w:t>
      </w:r>
      <w:proofErr w:type="gramEnd"/>
      <w:r w:rsidRPr="00083F86">
        <w:rPr>
          <w:b/>
          <w:bCs/>
          <w:szCs w:val="28"/>
        </w:rPr>
        <w:t xml:space="preserve"> о с т а н о в л я е </w:t>
      </w:r>
      <w:proofErr w:type="gramStart"/>
      <w:r w:rsidRPr="00083F86">
        <w:rPr>
          <w:b/>
          <w:bCs/>
          <w:szCs w:val="28"/>
        </w:rPr>
        <w:t>т</w:t>
      </w:r>
      <w:proofErr w:type="gramEnd"/>
      <w:r w:rsidRPr="00083F86">
        <w:rPr>
          <w:b/>
          <w:bCs/>
          <w:szCs w:val="28"/>
        </w:rPr>
        <w:t>:</w:t>
      </w:r>
    </w:p>
    <w:p w:rsidR="00070639" w:rsidRDefault="00070639" w:rsidP="00083F8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70639">
        <w:rPr>
          <w:bCs/>
          <w:szCs w:val="28"/>
        </w:rPr>
        <w:t xml:space="preserve">Установить распределение в 2014 году не использованных в </w:t>
      </w:r>
      <w:r>
        <w:rPr>
          <w:bCs/>
          <w:szCs w:val="28"/>
        </w:rPr>
        <w:br/>
      </w:r>
      <w:r w:rsidRPr="00070639">
        <w:rPr>
          <w:bCs/>
          <w:szCs w:val="28"/>
        </w:rPr>
        <w:t xml:space="preserve">2013 году </w:t>
      </w:r>
      <w:r>
        <w:rPr>
          <w:bCs/>
          <w:szCs w:val="28"/>
        </w:rPr>
        <w:t xml:space="preserve"> субсидий бюджетам муниципальных районов (городских округов) на предоставление социальных выплат молодым семьям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приобретение (строительство) жилья на реализацию мероприятий подпрограммы «Обеспечение жильем молодых семей» долгосрочной целевой программы «Жилище» на 2011-2015 годы </w:t>
      </w:r>
      <w:r w:rsidR="00D73E1D">
        <w:rPr>
          <w:bCs/>
          <w:szCs w:val="28"/>
        </w:rPr>
        <w:t xml:space="preserve"> в рамках подпрограммы «Обеспечение жильем молодых семей» федеральной целевой программы «Жилище» на 2011-2015 годы </w:t>
      </w:r>
      <w:r>
        <w:rPr>
          <w:bCs/>
          <w:szCs w:val="28"/>
        </w:rPr>
        <w:t>согласно приложению.</w:t>
      </w:r>
    </w:p>
    <w:p w:rsidR="00070639" w:rsidRPr="00070639" w:rsidRDefault="00070639" w:rsidP="00083F8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70639" w:rsidRPr="00070639" w:rsidRDefault="00070639" w:rsidP="00D73E1D">
      <w:pPr>
        <w:ind w:left="-142" w:firstLine="5104"/>
        <w:jc w:val="both"/>
        <w:rPr>
          <w:szCs w:val="28"/>
        </w:rPr>
      </w:pPr>
      <w:r w:rsidRPr="00070639">
        <w:rPr>
          <w:szCs w:val="28"/>
        </w:rPr>
        <w:lastRenderedPageBreak/>
        <w:t xml:space="preserve">Приложение </w:t>
      </w:r>
    </w:p>
    <w:p w:rsidR="00070639" w:rsidRPr="00070639" w:rsidRDefault="00070639" w:rsidP="00D73E1D">
      <w:pPr>
        <w:ind w:left="-142" w:firstLine="5104"/>
        <w:jc w:val="both"/>
        <w:rPr>
          <w:szCs w:val="28"/>
        </w:rPr>
      </w:pPr>
      <w:r w:rsidRPr="00070639">
        <w:rPr>
          <w:szCs w:val="28"/>
        </w:rPr>
        <w:t xml:space="preserve">к постановлению Правительства </w:t>
      </w:r>
    </w:p>
    <w:p w:rsidR="00070639" w:rsidRPr="00070639" w:rsidRDefault="00070639" w:rsidP="00D73E1D">
      <w:pPr>
        <w:ind w:left="-142" w:firstLine="5104"/>
        <w:jc w:val="both"/>
        <w:rPr>
          <w:szCs w:val="28"/>
        </w:rPr>
      </w:pPr>
      <w:r w:rsidRPr="00070639">
        <w:rPr>
          <w:szCs w:val="28"/>
        </w:rPr>
        <w:t>Республики Карелия</w:t>
      </w:r>
    </w:p>
    <w:p w:rsidR="00070639" w:rsidRDefault="00070639" w:rsidP="00D73E1D">
      <w:pPr>
        <w:ind w:left="-142" w:firstLine="5104"/>
        <w:jc w:val="both"/>
        <w:rPr>
          <w:szCs w:val="28"/>
        </w:rPr>
      </w:pPr>
      <w:r w:rsidRPr="00070639">
        <w:rPr>
          <w:szCs w:val="28"/>
        </w:rPr>
        <w:t>от</w:t>
      </w:r>
      <w:r w:rsidR="00E80FE8">
        <w:rPr>
          <w:szCs w:val="28"/>
        </w:rPr>
        <w:t xml:space="preserve"> 19 ноября 2014 года № 339-П</w:t>
      </w:r>
    </w:p>
    <w:p w:rsidR="00070639" w:rsidRDefault="00070639" w:rsidP="00070639">
      <w:pPr>
        <w:ind w:left="-142" w:firstLine="4395"/>
        <w:jc w:val="both"/>
        <w:rPr>
          <w:szCs w:val="28"/>
        </w:rPr>
      </w:pPr>
    </w:p>
    <w:p w:rsidR="00070639" w:rsidRDefault="00070639" w:rsidP="00070639">
      <w:pPr>
        <w:ind w:left="-142"/>
        <w:jc w:val="center"/>
        <w:rPr>
          <w:bCs/>
          <w:szCs w:val="28"/>
        </w:rPr>
      </w:pPr>
      <w:proofErr w:type="gramStart"/>
      <w:r>
        <w:rPr>
          <w:szCs w:val="28"/>
        </w:rPr>
        <w:t>Распределение</w:t>
      </w:r>
      <w:r w:rsidRPr="00070639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070639">
        <w:rPr>
          <w:bCs/>
          <w:szCs w:val="28"/>
        </w:rPr>
        <w:t xml:space="preserve">в 2014 году не использованных в 2013 году </w:t>
      </w:r>
      <w:r>
        <w:rPr>
          <w:bCs/>
          <w:szCs w:val="28"/>
        </w:rPr>
        <w:t xml:space="preserve"> субсидий бюджетам муниципальных районов (городских округов) на предоставление социальных выплат молодым семьям на приобретение (строительство) жилья на реализацию мероприятий подпрограммы «Обеспечение жильем молодых семей» долгосрочной целевой программы «Жилище» </w:t>
      </w:r>
      <w:r>
        <w:rPr>
          <w:bCs/>
          <w:szCs w:val="28"/>
        </w:rPr>
        <w:br/>
        <w:t>на 2011-2015 годы</w:t>
      </w:r>
      <w:r w:rsidRPr="00070639">
        <w:rPr>
          <w:bCs/>
          <w:szCs w:val="28"/>
        </w:rPr>
        <w:t xml:space="preserve"> </w:t>
      </w:r>
      <w:r>
        <w:rPr>
          <w:bCs/>
          <w:szCs w:val="28"/>
        </w:rPr>
        <w:t>в рамках подпрограммы «Обеспечение жильем молодых семей» федеральной целевой программы «Жилище» на 2011-2015 годы</w:t>
      </w:r>
      <w:proofErr w:type="gramEnd"/>
    </w:p>
    <w:p w:rsidR="00070639" w:rsidRDefault="00070639" w:rsidP="00070639">
      <w:pPr>
        <w:ind w:left="-142"/>
        <w:jc w:val="center"/>
        <w:rPr>
          <w:bCs/>
          <w:szCs w:val="28"/>
        </w:rPr>
      </w:pPr>
    </w:p>
    <w:p w:rsidR="00070639" w:rsidRDefault="00070639" w:rsidP="00070639">
      <w:pPr>
        <w:ind w:left="-142"/>
        <w:jc w:val="center"/>
        <w:rPr>
          <w:bCs/>
          <w:szCs w:val="28"/>
        </w:rPr>
      </w:pPr>
    </w:p>
    <w:p w:rsidR="00070639" w:rsidRDefault="00070639" w:rsidP="00070639">
      <w:pPr>
        <w:ind w:left="-142"/>
        <w:jc w:val="right"/>
        <w:rPr>
          <w:bCs/>
          <w:szCs w:val="28"/>
        </w:rPr>
      </w:pPr>
      <w:r>
        <w:rPr>
          <w:bCs/>
          <w:szCs w:val="28"/>
        </w:rPr>
        <w:t>(рублей)</w:t>
      </w:r>
    </w:p>
    <w:tbl>
      <w:tblPr>
        <w:tblStyle w:val="af2"/>
        <w:tblW w:w="9606" w:type="dxa"/>
        <w:tblInd w:w="-142" w:type="dxa"/>
        <w:tblLook w:val="04A0" w:firstRow="1" w:lastRow="0" w:firstColumn="1" w:lastColumn="0" w:noHBand="0" w:noVBand="1"/>
      </w:tblPr>
      <w:tblGrid>
        <w:gridCol w:w="660"/>
        <w:gridCol w:w="3552"/>
        <w:gridCol w:w="1686"/>
        <w:gridCol w:w="1865"/>
        <w:gridCol w:w="1843"/>
      </w:tblGrid>
      <w:tr w:rsidR="00070639" w:rsidTr="00F21F33">
        <w:tc>
          <w:tcPr>
            <w:tcW w:w="660" w:type="dxa"/>
            <w:tcBorders>
              <w:bottom w:val="nil"/>
            </w:tcBorders>
          </w:tcPr>
          <w:p w:rsidR="00070639" w:rsidRDefault="00070639" w:rsidP="00F21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F21F33">
              <w:rPr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bottom w:val="nil"/>
            </w:tcBorders>
          </w:tcPr>
          <w:p w:rsidR="00070639" w:rsidRDefault="00070639" w:rsidP="00F21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</w:tc>
        <w:tc>
          <w:tcPr>
            <w:tcW w:w="1686" w:type="dxa"/>
            <w:tcBorders>
              <w:bottom w:val="nil"/>
            </w:tcBorders>
          </w:tcPr>
          <w:p w:rsidR="00070639" w:rsidRDefault="00070639" w:rsidP="00F21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</w:tc>
        <w:tc>
          <w:tcPr>
            <w:tcW w:w="3708" w:type="dxa"/>
            <w:gridSpan w:val="2"/>
          </w:tcPr>
          <w:p w:rsidR="00070639" w:rsidRDefault="00070639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070639" w:rsidTr="00F21F33">
        <w:tc>
          <w:tcPr>
            <w:tcW w:w="660" w:type="dxa"/>
            <w:tcBorders>
              <w:top w:val="nil"/>
            </w:tcBorders>
          </w:tcPr>
          <w:p w:rsidR="00070639" w:rsidRDefault="00F21F33" w:rsidP="0007063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52" w:type="dxa"/>
            <w:tcBorders>
              <w:top w:val="nil"/>
            </w:tcBorders>
          </w:tcPr>
          <w:p w:rsidR="00070639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686" w:type="dxa"/>
            <w:tcBorders>
              <w:top w:val="nil"/>
            </w:tcBorders>
          </w:tcPr>
          <w:p w:rsidR="00070639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865" w:type="dxa"/>
          </w:tcPr>
          <w:p w:rsidR="00070639" w:rsidRDefault="00070639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субсидии из федерального бюджета</w:t>
            </w:r>
          </w:p>
        </w:tc>
        <w:tc>
          <w:tcPr>
            <w:tcW w:w="1843" w:type="dxa"/>
          </w:tcPr>
          <w:p w:rsidR="00070639" w:rsidRDefault="00070639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590 131,50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147 532,87</w:t>
            </w:r>
          </w:p>
        </w:tc>
        <w:tc>
          <w:tcPr>
            <w:tcW w:w="1843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442 598,63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D73E1D">
              <w:rPr>
                <w:szCs w:val="28"/>
              </w:rPr>
              <w:t>-</w:t>
            </w:r>
            <w:r>
              <w:rPr>
                <w:szCs w:val="28"/>
              </w:rPr>
              <w:t>пальный</w:t>
            </w:r>
            <w:proofErr w:type="spellEnd"/>
            <w:proofErr w:type="gramEnd"/>
            <w:r>
              <w:rPr>
                <w:szCs w:val="28"/>
              </w:rPr>
              <w:t xml:space="preserve"> район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758 740,50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189 685,10</w:t>
            </w:r>
          </w:p>
        </w:tc>
        <w:tc>
          <w:tcPr>
            <w:tcW w:w="1843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569 055,40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D73E1D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район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3 540 789,00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885 197,20</w:t>
            </w:r>
          </w:p>
        </w:tc>
        <w:tc>
          <w:tcPr>
            <w:tcW w:w="1843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2 655 591,80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D73E1D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район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155 152,72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38 788,15</w:t>
            </w:r>
          </w:p>
        </w:tc>
        <w:tc>
          <w:tcPr>
            <w:tcW w:w="1843" w:type="dxa"/>
          </w:tcPr>
          <w:p w:rsidR="00F21F33" w:rsidRDefault="00F21F33" w:rsidP="00D7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116 36</w:t>
            </w:r>
            <w:r w:rsidR="00D73E1D">
              <w:rPr>
                <w:szCs w:val="28"/>
              </w:rPr>
              <w:t>4</w:t>
            </w:r>
            <w:r>
              <w:rPr>
                <w:szCs w:val="28"/>
              </w:rPr>
              <w:t>,57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</w:t>
            </w:r>
            <w:r w:rsidR="00D73E1D">
              <w:rPr>
                <w:szCs w:val="28"/>
              </w:rPr>
              <w:t xml:space="preserve"> </w:t>
            </w:r>
            <w:proofErr w:type="spellStart"/>
            <w:proofErr w:type="gramStart"/>
            <w:r w:rsidR="00D73E1D">
              <w:rPr>
                <w:szCs w:val="28"/>
              </w:rPr>
              <w:t>муниципаль-ный</w:t>
            </w:r>
            <w:proofErr w:type="spellEnd"/>
            <w:proofErr w:type="gramEnd"/>
            <w:r w:rsidR="00D73E1D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590 131,50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147 532,87</w:t>
            </w:r>
          </w:p>
        </w:tc>
        <w:tc>
          <w:tcPr>
            <w:tcW w:w="1843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442 598,63</w:t>
            </w:r>
          </w:p>
        </w:tc>
      </w:tr>
      <w:tr w:rsidR="00F21F33" w:rsidTr="00F21F33">
        <w:tc>
          <w:tcPr>
            <w:tcW w:w="660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</w:tcPr>
          <w:p w:rsidR="00F21F33" w:rsidRDefault="00F21F33" w:rsidP="00F21F3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6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5 634 945,22</w:t>
            </w:r>
          </w:p>
        </w:tc>
        <w:tc>
          <w:tcPr>
            <w:tcW w:w="1865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1 408 736,19</w:t>
            </w:r>
          </w:p>
        </w:tc>
        <w:tc>
          <w:tcPr>
            <w:tcW w:w="1843" w:type="dxa"/>
          </w:tcPr>
          <w:p w:rsidR="00F21F33" w:rsidRDefault="00F21F33" w:rsidP="00070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4 226 209,03</w:t>
            </w:r>
          </w:p>
        </w:tc>
      </w:tr>
    </w:tbl>
    <w:p w:rsidR="00D73E1D" w:rsidRDefault="00D73E1D" w:rsidP="00070639">
      <w:pPr>
        <w:ind w:left="-142"/>
        <w:jc w:val="center"/>
        <w:rPr>
          <w:szCs w:val="28"/>
        </w:rPr>
      </w:pPr>
    </w:p>
    <w:p w:rsidR="00D73E1D" w:rsidRDefault="00D73E1D" w:rsidP="00070639">
      <w:pPr>
        <w:ind w:left="-142"/>
        <w:jc w:val="center"/>
        <w:rPr>
          <w:szCs w:val="28"/>
        </w:rPr>
      </w:pPr>
    </w:p>
    <w:p w:rsidR="00070639" w:rsidRPr="00070639" w:rsidRDefault="00F21F33" w:rsidP="00070639">
      <w:pPr>
        <w:ind w:left="-142"/>
        <w:jc w:val="center"/>
        <w:rPr>
          <w:szCs w:val="28"/>
        </w:rPr>
      </w:pPr>
      <w:r>
        <w:rPr>
          <w:szCs w:val="28"/>
        </w:rPr>
        <w:t>___________________</w:t>
      </w:r>
    </w:p>
    <w:sectPr w:rsidR="00070639" w:rsidRPr="00070639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0639"/>
    <w:rsid w:val="0007217A"/>
    <w:rsid w:val="000729CC"/>
    <w:rsid w:val="00083F86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73E1D"/>
    <w:rsid w:val="00DB34EF"/>
    <w:rsid w:val="00DC600E"/>
    <w:rsid w:val="00DF3DAD"/>
    <w:rsid w:val="00E356BC"/>
    <w:rsid w:val="00E4256C"/>
    <w:rsid w:val="00E775CF"/>
    <w:rsid w:val="00E80FE8"/>
    <w:rsid w:val="00EC4208"/>
    <w:rsid w:val="00ED69B7"/>
    <w:rsid w:val="00ED6C2A"/>
    <w:rsid w:val="00F15EC6"/>
    <w:rsid w:val="00F21F33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7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2014-11-18T11:47:00Z</cp:lastPrinted>
  <dcterms:created xsi:type="dcterms:W3CDTF">2014-11-18T08:48:00Z</dcterms:created>
  <dcterms:modified xsi:type="dcterms:W3CDTF">2014-11-19T09:42:00Z</dcterms:modified>
</cp:coreProperties>
</file>