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6D3D1536" wp14:editId="5B63B55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3049">
      <w:pPr>
        <w:spacing w:before="240"/>
        <w:ind w:left="-142"/>
        <w:jc w:val="center"/>
      </w:pPr>
      <w:r>
        <w:t>от</w:t>
      </w:r>
      <w:r w:rsidR="00EE3049">
        <w:t xml:space="preserve"> 22 января 2015 года № 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2353" w:rsidRPr="00226FB2" w:rsidRDefault="001B2353" w:rsidP="00226FB2">
      <w:pPr>
        <w:widowControl w:val="0"/>
        <w:autoSpaceDE w:val="0"/>
        <w:autoSpaceDN w:val="0"/>
        <w:adjustRightInd w:val="0"/>
        <w:spacing w:after="120"/>
        <w:ind w:right="141"/>
        <w:jc w:val="center"/>
        <w:rPr>
          <w:b/>
          <w:bCs/>
          <w:sz w:val="27"/>
          <w:szCs w:val="27"/>
        </w:rPr>
      </w:pPr>
      <w:r w:rsidRPr="00226FB2">
        <w:rPr>
          <w:b/>
          <w:sz w:val="27"/>
          <w:szCs w:val="27"/>
        </w:rPr>
        <w:t xml:space="preserve">Об утверждении Положения </w:t>
      </w:r>
      <w:r w:rsidR="00EE3049">
        <w:rPr>
          <w:b/>
          <w:sz w:val="27"/>
          <w:szCs w:val="27"/>
        </w:rPr>
        <w:t xml:space="preserve">о </w:t>
      </w:r>
      <w:r w:rsidRPr="00226FB2">
        <w:rPr>
          <w:b/>
          <w:sz w:val="27"/>
          <w:szCs w:val="27"/>
        </w:rPr>
        <w:t>проведени</w:t>
      </w:r>
      <w:r w:rsidR="00EE3049">
        <w:rPr>
          <w:b/>
          <w:sz w:val="27"/>
          <w:szCs w:val="27"/>
        </w:rPr>
        <w:t>и</w:t>
      </w:r>
      <w:r w:rsidRPr="00226FB2">
        <w:rPr>
          <w:b/>
          <w:sz w:val="27"/>
          <w:szCs w:val="27"/>
        </w:rPr>
        <w:t xml:space="preserve"> </w:t>
      </w:r>
      <w:proofErr w:type="gramStart"/>
      <w:r w:rsidRPr="00226FB2">
        <w:rPr>
          <w:b/>
          <w:sz w:val="27"/>
          <w:szCs w:val="27"/>
        </w:rPr>
        <w:t>проверки достоверности определения сметной стоимости объектов капитального</w:t>
      </w:r>
      <w:proofErr w:type="gramEnd"/>
      <w:r w:rsidRPr="00226FB2">
        <w:rPr>
          <w:b/>
          <w:sz w:val="27"/>
          <w:szCs w:val="27"/>
        </w:rPr>
        <w:t xml:space="preserve"> строительства, финансирование которых осуществляется с привлечением средств бюджета Республики Карелия</w:t>
      </w:r>
    </w:p>
    <w:p w:rsidR="001B2353" w:rsidRPr="00226FB2" w:rsidRDefault="001B2353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226FB2">
        <w:rPr>
          <w:sz w:val="27"/>
          <w:szCs w:val="27"/>
        </w:rPr>
        <w:t xml:space="preserve">В целях эффективного использования средств бюджета Республики Карелия Правительство Республики Карелия </w:t>
      </w:r>
      <w:proofErr w:type="gramStart"/>
      <w:r w:rsidRPr="00226FB2">
        <w:rPr>
          <w:b/>
          <w:sz w:val="27"/>
          <w:szCs w:val="27"/>
        </w:rPr>
        <w:t>п</w:t>
      </w:r>
      <w:proofErr w:type="gramEnd"/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о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с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т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а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н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о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в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л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я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е</w:t>
      </w:r>
      <w:r w:rsidR="00226FB2" w:rsidRPr="00226FB2">
        <w:rPr>
          <w:b/>
          <w:sz w:val="27"/>
          <w:szCs w:val="27"/>
        </w:rPr>
        <w:t xml:space="preserve"> </w:t>
      </w:r>
      <w:r w:rsidRPr="00226FB2">
        <w:rPr>
          <w:b/>
          <w:sz w:val="27"/>
          <w:szCs w:val="27"/>
        </w:rPr>
        <w:t>т:</w:t>
      </w:r>
    </w:p>
    <w:p w:rsidR="001B2353" w:rsidRPr="00226FB2" w:rsidRDefault="001B2353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226FB2">
        <w:rPr>
          <w:sz w:val="27"/>
          <w:szCs w:val="27"/>
        </w:rPr>
        <w:t xml:space="preserve">1. Утвердить прилагаемое Положение о </w:t>
      </w:r>
      <w:r w:rsidR="00EE3049">
        <w:rPr>
          <w:sz w:val="27"/>
          <w:szCs w:val="27"/>
        </w:rPr>
        <w:t xml:space="preserve">проведении </w:t>
      </w:r>
      <w:proofErr w:type="gramStart"/>
      <w:r w:rsidRPr="00226FB2">
        <w:rPr>
          <w:sz w:val="27"/>
          <w:szCs w:val="27"/>
        </w:rPr>
        <w:t>проверк</w:t>
      </w:r>
      <w:r w:rsidR="00EE3049">
        <w:rPr>
          <w:sz w:val="27"/>
          <w:szCs w:val="27"/>
        </w:rPr>
        <w:t>и</w:t>
      </w:r>
      <w:r w:rsidRPr="00226FB2">
        <w:rPr>
          <w:sz w:val="27"/>
          <w:szCs w:val="27"/>
        </w:rPr>
        <w:t xml:space="preserve"> достоверности определения сметной стоимости объектов капитального</w:t>
      </w:r>
      <w:proofErr w:type="gramEnd"/>
      <w:r w:rsidRPr="00226FB2">
        <w:rPr>
          <w:sz w:val="27"/>
          <w:szCs w:val="27"/>
        </w:rPr>
        <w:t xml:space="preserve"> строительства, финансирование которых осуществляется с привлечением средств бюджета Республики Карелия</w:t>
      </w:r>
      <w:r w:rsidR="00226FB2" w:rsidRPr="00226FB2">
        <w:rPr>
          <w:sz w:val="27"/>
          <w:szCs w:val="27"/>
        </w:rPr>
        <w:t xml:space="preserve"> (далее – проверка достоверности определения сметной стоимости)</w:t>
      </w:r>
      <w:r w:rsidRPr="00226FB2">
        <w:rPr>
          <w:sz w:val="27"/>
          <w:szCs w:val="27"/>
        </w:rPr>
        <w:t>.</w:t>
      </w:r>
    </w:p>
    <w:p w:rsidR="001B2353" w:rsidRPr="00226FB2" w:rsidRDefault="00226FB2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226FB2">
        <w:rPr>
          <w:sz w:val="27"/>
          <w:szCs w:val="27"/>
        </w:rPr>
        <w:t>2</w:t>
      </w:r>
      <w:r w:rsidR="001B2353" w:rsidRPr="00226FB2">
        <w:rPr>
          <w:sz w:val="27"/>
          <w:szCs w:val="27"/>
        </w:rPr>
        <w:t xml:space="preserve">. </w:t>
      </w:r>
      <w:proofErr w:type="gramStart"/>
      <w:r w:rsidR="001B2353" w:rsidRPr="00226FB2">
        <w:rPr>
          <w:sz w:val="27"/>
          <w:szCs w:val="27"/>
        </w:rPr>
        <w:t xml:space="preserve">Получателям средств бюджета Республики Карелия, </w:t>
      </w:r>
      <w:r w:rsidRPr="00226FB2">
        <w:rPr>
          <w:sz w:val="27"/>
          <w:szCs w:val="27"/>
        </w:rPr>
        <w:t>государственным</w:t>
      </w:r>
      <w:r w:rsidR="001B2353" w:rsidRPr="00226FB2">
        <w:rPr>
          <w:sz w:val="27"/>
          <w:szCs w:val="27"/>
        </w:rPr>
        <w:t xml:space="preserve"> учреждениям Республики Карелия при заключении договоров (государственных контрактов) на разработку проектной документации на строительство, реконструкцию, техническое перевооружение (когда такое перевооружение связано со строительством или реконструкцией объекта капитального строительства), а также капитальный ремонт автомобильных дорог общего пользования предусмотреть условие, что оплата проверки достоверности определения сметной стоимости осуществляется подрядчиком в пределах средств договора (государственного контракта).</w:t>
      </w:r>
      <w:proofErr w:type="gramEnd"/>
    </w:p>
    <w:p w:rsidR="001B2353" w:rsidRPr="00226FB2" w:rsidRDefault="00226FB2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226FB2">
        <w:rPr>
          <w:sz w:val="27"/>
          <w:szCs w:val="27"/>
        </w:rPr>
        <w:t>3</w:t>
      </w:r>
      <w:r w:rsidR="001B2353" w:rsidRPr="00226FB2">
        <w:rPr>
          <w:sz w:val="27"/>
          <w:szCs w:val="27"/>
        </w:rPr>
        <w:t xml:space="preserve">. Рекомендовать </w:t>
      </w:r>
      <w:r w:rsidRPr="00226FB2">
        <w:rPr>
          <w:sz w:val="27"/>
          <w:szCs w:val="27"/>
        </w:rPr>
        <w:t xml:space="preserve">органам местного самоуправления </w:t>
      </w:r>
      <w:r w:rsidR="001B2353" w:rsidRPr="00226FB2">
        <w:rPr>
          <w:sz w:val="27"/>
          <w:szCs w:val="27"/>
        </w:rPr>
        <w:t xml:space="preserve">муниципальных образований </w:t>
      </w:r>
      <w:r w:rsidRPr="00226FB2">
        <w:rPr>
          <w:sz w:val="27"/>
          <w:szCs w:val="27"/>
        </w:rPr>
        <w:t xml:space="preserve">в </w:t>
      </w:r>
      <w:r w:rsidR="001B2353" w:rsidRPr="00226FB2">
        <w:rPr>
          <w:sz w:val="27"/>
          <w:szCs w:val="27"/>
        </w:rPr>
        <w:t>Республик</w:t>
      </w:r>
      <w:r w:rsidRPr="00226FB2">
        <w:rPr>
          <w:sz w:val="27"/>
          <w:szCs w:val="27"/>
        </w:rPr>
        <w:t>е</w:t>
      </w:r>
      <w:r w:rsidR="001B2353" w:rsidRPr="00226FB2">
        <w:rPr>
          <w:sz w:val="27"/>
          <w:szCs w:val="27"/>
        </w:rPr>
        <w:t xml:space="preserve"> Карелия принять муниципальные правовые акты, определяющие порядок проверки сметной стоимости объектов капитального строительства, финансируемы</w:t>
      </w:r>
      <w:r w:rsidRPr="00226FB2">
        <w:rPr>
          <w:sz w:val="27"/>
          <w:szCs w:val="27"/>
        </w:rPr>
        <w:t>х</w:t>
      </w:r>
      <w:r w:rsidR="001B2353" w:rsidRPr="00226FB2">
        <w:rPr>
          <w:sz w:val="27"/>
          <w:szCs w:val="27"/>
        </w:rPr>
        <w:t xml:space="preserve"> с привлечением средств </w:t>
      </w:r>
      <w:r w:rsidRPr="00226FB2">
        <w:rPr>
          <w:sz w:val="27"/>
          <w:szCs w:val="27"/>
        </w:rPr>
        <w:t>местных</w:t>
      </w:r>
      <w:r w:rsidR="001B2353" w:rsidRPr="00226FB2">
        <w:rPr>
          <w:sz w:val="27"/>
          <w:szCs w:val="27"/>
        </w:rPr>
        <w:t xml:space="preserve"> бюджетов.</w:t>
      </w:r>
    </w:p>
    <w:p w:rsidR="001B2353" w:rsidRDefault="00226FB2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226FB2">
        <w:rPr>
          <w:sz w:val="27"/>
          <w:szCs w:val="27"/>
        </w:rPr>
        <w:t>4</w:t>
      </w:r>
      <w:r w:rsidR="001B2353" w:rsidRPr="00226FB2">
        <w:rPr>
          <w:sz w:val="27"/>
          <w:szCs w:val="27"/>
        </w:rPr>
        <w:t xml:space="preserve">. Настоящее </w:t>
      </w:r>
      <w:r w:rsidRPr="00226FB2">
        <w:rPr>
          <w:sz w:val="27"/>
          <w:szCs w:val="27"/>
        </w:rPr>
        <w:t>п</w:t>
      </w:r>
      <w:r w:rsidR="001B2353" w:rsidRPr="00226FB2">
        <w:rPr>
          <w:sz w:val="27"/>
          <w:szCs w:val="27"/>
        </w:rPr>
        <w:t>остановление вступает в силу со дня его официального опубликования.</w:t>
      </w:r>
    </w:p>
    <w:p w:rsidR="000E67A7" w:rsidRDefault="000E67A7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</w:p>
    <w:p w:rsidR="000E67A7" w:rsidRPr="00226FB2" w:rsidRDefault="000E67A7" w:rsidP="00226FB2">
      <w:pPr>
        <w:widowControl w:val="0"/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ED1F27" w:rsidRDefault="001C34DC" w:rsidP="00226FB2">
      <w:pPr>
        <w:autoSpaceDE w:val="0"/>
        <w:autoSpaceDN w:val="0"/>
        <w:adjustRightInd w:val="0"/>
        <w:ind w:right="141"/>
        <w:jc w:val="both"/>
        <w:rPr>
          <w:szCs w:val="28"/>
        </w:rPr>
        <w:sectPr w:rsidR="00ED1F27" w:rsidSect="00397A3C">
          <w:headerReference w:type="default" r:id="rId10"/>
          <w:headerReference w:type="first" r:id="rId11"/>
          <w:type w:val="nextColumn"/>
          <w:pgSz w:w="11907" w:h="16840"/>
          <w:pgMar w:top="567" w:right="851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226FB2">
        <w:rPr>
          <w:szCs w:val="28"/>
        </w:rPr>
        <w:t xml:space="preserve"> </w:t>
      </w:r>
      <w:r>
        <w:rPr>
          <w:szCs w:val="28"/>
        </w:rPr>
        <w:tab/>
        <w:t xml:space="preserve">        А.П.</w:t>
      </w:r>
      <w:r w:rsidR="00226FB2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B82BD7" w:rsidRDefault="00ED1F27" w:rsidP="00B82BD7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  <w:r w:rsidR="00B82BD7">
        <w:rPr>
          <w:szCs w:val="28"/>
        </w:rPr>
        <w:t xml:space="preserve"> п</w:t>
      </w:r>
      <w:r>
        <w:rPr>
          <w:szCs w:val="28"/>
        </w:rPr>
        <w:t xml:space="preserve">остановлением </w:t>
      </w:r>
    </w:p>
    <w:p w:rsidR="00ED1F27" w:rsidRDefault="00ED1F27" w:rsidP="00B82BD7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Правительства</w:t>
      </w:r>
      <w:r w:rsidR="00B82BD7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ED1F27" w:rsidRDefault="00ED1F27" w:rsidP="00B82BD7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от</w:t>
      </w:r>
      <w:r w:rsidRPr="00ED1F27">
        <w:rPr>
          <w:szCs w:val="28"/>
        </w:rPr>
        <w:t xml:space="preserve"> </w:t>
      </w:r>
      <w:r w:rsidR="00EE3049">
        <w:rPr>
          <w:szCs w:val="28"/>
        </w:rPr>
        <w:t>22 января 2015 года № 9-П</w:t>
      </w:r>
    </w:p>
    <w:p w:rsidR="00ED1F27" w:rsidRDefault="00ED1F27" w:rsidP="00ED1F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82BD7" w:rsidRDefault="00ED1F27" w:rsidP="00ED1F2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59"/>
      <w:bookmarkEnd w:id="1"/>
      <w:r>
        <w:rPr>
          <w:b/>
          <w:szCs w:val="28"/>
        </w:rPr>
        <w:t xml:space="preserve">Положение </w:t>
      </w:r>
    </w:p>
    <w:p w:rsidR="007D6310" w:rsidRDefault="00EE3049" w:rsidP="00ED1F2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="00ED1F27">
        <w:rPr>
          <w:b/>
          <w:szCs w:val="28"/>
        </w:rPr>
        <w:t xml:space="preserve"> проверки достоверности определения сметной </w:t>
      </w:r>
    </w:p>
    <w:p w:rsidR="007D6310" w:rsidRDefault="00ED1F27" w:rsidP="00ED1F2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стоимости объектов капитального строительства, финансирование которых осуществляется с привлечением средств бюджета </w:t>
      </w:r>
    </w:p>
    <w:p w:rsidR="00ED1F27" w:rsidRDefault="00ED1F27" w:rsidP="00ED1F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Республики Карелия</w:t>
      </w:r>
    </w:p>
    <w:p w:rsidR="00ED1F27" w:rsidRDefault="00ED1F27" w:rsidP="00ED1F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68"/>
      <w:bookmarkEnd w:id="2"/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регламентирует порядок проведения проверки достоверности определения сметной стоимости объектов капитального строительства в случаях, если строительство, реконструкцию, техническое перевооружение (когда такое перевооружение связано со строительством или реконструкцией объекта капитального строительства), а также капитальный ремонт автомобильных дорог общего пользования </w:t>
      </w:r>
      <w:r w:rsidR="007501EC">
        <w:rPr>
          <w:szCs w:val="28"/>
        </w:rPr>
        <w:t xml:space="preserve"> (далее – проверка сметной стоимости</w:t>
      </w:r>
      <w:r w:rsidR="0035221B">
        <w:rPr>
          <w:szCs w:val="28"/>
        </w:rPr>
        <w:t>, объекты</w:t>
      </w:r>
      <w:r w:rsidR="007501EC">
        <w:rPr>
          <w:szCs w:val="28"/>
        </w:rPr>
        <w:t xml:space="preserve">) </w:t>
      </w:r>
      <w:r>
        <w:rPr>
          <w:szCs w:val="28"/>
        </w:rPr>
        <w:t xml:space="preserve">планируется осуществлять полностью или частично за счет средств </w:t>
      </w:r>
      <w:r w:rsidR="007501EC">
        <w:rPr>
          <w:szCs w:val="28"/>
        </w:rPr>
        <w:t xml:space="preserve">бюджета </w:t>
      </w:r>
      <w:r>
        <w:rPr>
          <w:szCs w:val="28"/>
        </w:rPr>
        <w:t xml:space="preserve">Республики Карелия. </w:t>
      </w:r>
      <w:proofErr w:type="gramEnd"/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Проверка сметной стоимости  осуществляется автономным учреждением Республики Карелия «Управление государственной экспертизы Республики Карелия</w:t>
      </w:r>
      <w:r w:rsidR="0035221B">
        <w:rPr>
          <w:szCs w:val="28"/>
        </w:rPr>
        <w:t>»</w:t>
      </w:r>
      <w:r>
        <w:rPr>
          <w:szCs w:val="28"/>
        </w:rPr>
        <w:t xml:space="preserve"> (далее – Учреждение).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Проверка сметной стоимости осуществляется в отношении объектов независимо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необходимости получения разрешения на строительство;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обязательности подготовки проектной документации;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обязательности государственной экспертизы проектной документации и результатов инженерных изысканий (далее – государственная экспертиза).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81"/>
      <w:bookmarkEnd w:id="3"/>
      <w:r>
        <w:rPr>
          <w:szCs w:val="28"/>
        </w:rPr>
        <w:t>4. Проверка сметной стоимости может осуществляться: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одновременно с проведением государственной экспертизы;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после проведения государственной экспертизы, если орган (организация), который проводил указанную экспертизу, и Учреждение  не совпадают;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по заявлению заказчика на проведение проверки сметной стоимости после проведения государственной экспертизы;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без проведения государственной экспертизы, если подготовка проектной документац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государственная экспертиза не являются обязательными.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5. </w:t>
      </w:r>
      <w:r w:rsidR="007501EC">
        <w:rPr>
          <w:szCs w:val="28"/>
        </w:rPr>
        <w:t>Т</w:t>
      </w:r>
      <w:r>
        <w:rPr>
          <w:szCs w:val="28"/>
        </w:rPr>
        <w:t>ермины и понятия, используемые в настоящем Положении, применяются в том же значении, что и в законодательстве Российской Федерации.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bookmarkStart w:id="4" w:name="Par97"/>
      <w:bookmarkStart w:id="5" w:name="Par100"/>
      <w:bookmarkEnd w:id="4"/>
      <w:bookmarkEnd w:id="5"/>
      <w:r>
        <w:rPr>
          <w:szCs w:val="28"/>
        </w:rPr>
        <w:t>6. Для проведения проверки сметной стоимости</w:t>
      </w:r>
      <w:r w:rsidR="001B2FF9">
        <w:rPr>
          <w:szCs w:val="28"/>
        </w:rPr>
        <w:t xml:space="preserve"> объектов</w:t>
      </w:r>
      <w:r w:rsidR="0035221B">
        <w:rPr>
          <w:szCs w:val="28"/>
        </w:rPr>
        <w:t xml:space="preserve"> застройщик (заказчик)</w:t>
      </w:r>
      <w:r>
        <w:rPr>
          <w:szCs w:val="28"/>
        </w:rPr>
        <w:t xml:space="preserve"> или лицо, действующее от их имени (далее </w:t>
      </w:r>
      <w:r w:rsidR="001B2FF9">
        <w:rPr>
          <w:szCs w:val="28"/>
        </w:rPr>
        <w:t>–</w:t>
      </w:r>
      <w:r>
        <w:rPr>
          <w:szCs w:val="28"/>
        </w:rPr>
        <w:t xml:space="preserve"> заявитель), представляет в Учреждение следующие документы: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01"/>
      <w:bookmarkEnd w:id="6"/>
      <w:r>
        <w:rPr>
          <w:szCs w:val="28"/>
        </w:rPr>
        <w:t>1) заявление о проведении проверки сметной стоимости, в котором указываются: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идентификационные сведения о лицах, осуществивших подготовку проектной документации и </w:t>
      </w:r>
      <w:r w:rsidR="001B2FF9">
        <w:rPr>
          <w:szCs w:val="28"/>
        </w:rPr>
        <w:t xml:space="preserve">выполнивших </w:t>
      </w:r>
      <w:r>
        <w:rPr>
          <w:szCs w:val="28"/>
        </w:rPr>
        <w:t>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идентификационные сведения об объекте, </w:t>
      </w:r>
      <w:r w:rsidR="001B2FF9">
        <w:rPr>
          <w:szCs w:val="28"/>
        </w:rPr>
        <w:t>проек</w:t>
      </w:r>
      <w:r w:rsidR="0035221B">
        <w:rPr>
          <w:szCs w:val="28"/>
        </w:rPr>
        <w:t>тная документация которого пред</w:t>
      </w:r>
      <w:r w:rsidR="001B2FF9">
        <w:rPr>
          <w:szCs w:val="28"/>
        </w:rPr>
        <w:t xml:space="preserve">ставлена для проверки </w:t>
      </w:r>
      <w:r>
        <w:rPr>
          <w:szCs w:val="28"/>
        </w:rPr>
        <w:t>сметн</w:t>
      </w:r>
      <w:r w:rsidR="001B2FF9">
        <w:rPr>
          <w:szCs w:val="28"/>
        </w:rPr>
        <w:t xml:space="preserve">ой стоимости </w:t>
      </w:r>
      <w:r>
        <w:rPr>
          <w:szCs w:val="28"/>
        </w:rPr>
        <w:t>(наименование объекта, почтовый (строительный) адрес объекта, основные технико-экономические характеристики объекта);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</w:t>
      </w:r>
      <w:r w:rsidR="001B2FF9">
        <w:rPr>
          <w:szCs w:val="28"/>
        </w:rPr>
        <w:t>(</w:t>
      </w:r>
      <w:r>
        <w:rPr>
          <w:szCs w:val="28"/>
        </w:rPr>
        <w:t>заказчика</w:t>
      </w:r>
      <w:r w:rsidR="001B2FF9">
        <w:rPr>
          <w:szCs w:val="28"/>
        </w:rPr>
        <w:t xml:space="preserve">) </w:t>
      </w:r>
      <w:r w:rsidR="001B2FF9">
        <w:rPr>
          <w:szCs w:val="28"/>
        </w:rPr>
        <w:softHyphen/>
        <w:t xml:space="preserve">– </w:t>
      </w:r>
      <w:r>
        <w:rPr>
          <w:szCs w:val="28"/>
        </w:rPr>
        <w:t>физического лица, полное наименование юридического лица, место нахождения застройщика</w:t>
      </w:r>
      <w:r w:rsidR="001B2FF9">
        <w:rPr>
          <w:szCs w:val="28"/>
        </w:rPr>
        <w:t xml:space="preserve"> (</w:t>
      </w:r>
      <w:r>
        <w:rPr>
          <w:szCs w:val="28"/>
        </w:rPr>
        <w:t>заказчика</w:t>
      </w:r>
      <w:r w:rsidR="001B2FF9">
        <w:rPr>
          <w:szCs w:val="28"/>
        </w:rPr>
        <w:t xml:space="preserve">) </w:t>
      </w:r>
      <w:r w:rsidR="001B2FF9">
        <w:rPr>
          <w:szCs w:val="28"/>
        </w:rPr>
        <w:softHyphen/>
        <w:t xml:space="preserve">– </w:t>
      </w:r>
      <w:r>
        <w:rPr>
          <w:szCs w:val="28"/>
        </w:rPr>
        <w:t>юридического лица, а в случае</w:t>
      </w:r>
      <w:r w:rsidR="00EE3049">
        <w:rPr>
          <w:szCs w:val="28"/>
        </w:rPr>
        <w:t>,</w:t>
      </w:r>
      <w:r>
        <w:rPr>
          <w:szCs w:val="28"/>
        </w:rPr>
        <w:t xml:space="preserve"> если застройщик</w:t>
      </w:r>
      <w:r w:rsidR="001B2FF9">
        <w:rPr>
          <w:szCs w:val="28"/>
        </w:rPr>
        <w:t xml:space="preserve"> (</w:t>
      </w:r>
      <w:r>
        <w:rPr>
          <w:szCs w:val="28"/>
        </w:rPr>
        <w:t>заказчик</w:t>
      </w:r>
      <w:r w:rsidR="001B2FF9">
        <w:rPr>
          <w:szCs w:val="28"/>
        </w:rPr>
        <w:t xml:space="preserve">) </w:t>
      </w:r>
      <w:r>
        <w:rPr>
          <w:szCs w:val="28"/>
        </w:rPr>
        <w:t xml:space="preserve"> и заявитель не одно и то же лицо – указанные сведения также в отношении заявителя);</w:t>
      </w:r>
      <w:proofErr w:type="gramEnd"/>
    </w:p>
    <w:p w:rsidR="001B2FF9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об источниках финансирования объекта</w:t>
      </w:r>
      <w:r w:rsidR="001B2FF9">
        <w:rPr>
          <w:szCs w:val="28"/>
        </w:rPr>
        <w:t>;</w:t>
      </w:r>
    </w:p>
    <w:p w:rsidR="00ED1F27" w:rsidRDefault="004545FA" w:rsidP="0045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Start w:id="8" w:name="Par114"/>
      <w:bookmarkStart w:id="9" w:name="Par121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1F27">
        <w:rPr>
          <w:rFonts w:ascii="Times New Roman" w:hAnsi="Times New Roman" w:cs="Times New Roman"/>
          <w:sz w:val="28"/>
          <w:szCs w:val="28"/>
        </w:rPr>
        <w:t>проектная документация и результаты инженерных изысканий на объект. В случае если проведение государственной экспертизы является обязательным, одновременно с заявлением о проведении проверки сметной стоимости подается заявление о проведении государственной экспертизы, при этом проектная документация повторно не представляется;</w:t>
      </w:r>
    </w:p>
    <w:p w:rsidR="00ED1F27" w:rsidRDefault="005648F2" w:rsidP="0045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1F27">
        <w:rPr>
          <w:rFonts w:ascii="Times New Roman" w:hAnsi="Times New Roman" w:cs="Times New Roman"/>
          <w:sz w:val="28"/>
          <w:szCs w:val="28"/>
        </w:rPr>
        <w:t>копия задания на проектирование;</w:t>
      </w:r>
    </w:p>
    <w:p w:rsidR="00ED1F27" w:rsidRDefault="005648F2" w:rsidP="0045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1F27">
        <w:rPr>
          <w:rFonts w:ascii="Times New Roman" w:hAnsi="Times New Roman" w:cs="Times New Roman"/>
          <w:sz w:val="28"/>
          <w:szCs w:val="28"/>
        </w:rPr>
        <w:t xml:space="preserve">копии заданий на выполнение инженерных изысканий; </w:t>
      </w:r>
    </w:p>
    <w:p w:rsidR="00ED1F27" w:rsidRDefault="005648F2" w:rsidP="004545F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Par83"/>
      <w:bookmarkStart w:id="12" w:name="Par84"/>
      <w:bookmarkEnd w:id="11"/>
      <w:bookmarkEnd w:id="12"/>
      <w:r>
        <w:rPr>
          <w:szCs w:val="28"/>
        </w:rPr>
        <w:t xml:space="preserve">5) </w:t>
      </w:r>
      <w:r w:rsidR="00ED1F27">
        <w:rPr>
          <w:szCs w:val="28"/>
        </w:rPr>
        <w:t xml:space="preserve">положительное заключение государственной экспертизы </w:t>
      </w:r>
      <w:r w:rsidR="0035221B">
        <w:rPr>
          <w:szCs w:val="28"/>
        </w:rPr>
        <w:t>–</w:t>
      </w:r>
      <w:r w:rsidR="00ED1F27">
        <w:rPr>
          <w:szCs w:val="28"/>
        </w:rPr>
        <w:t xml:space="preserve"> если проведение такой экспертизы является обязательным и если орган (организация), который проводил указанную экспертизу, и Учреждение, не совпадают;</w:t>
      </w:r>
    </w:p>
    <w:p w:rsidR="00ED1F27" w:rsidRDefault="005648F2" w:rsidP="0045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D1F27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заявителя действовать от имени застройщика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1F27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1F27">
        <w:rPr>
          <w:rFonts w:ascii="Times New Roman" w:hAnsi="Times New Roman" w:cs="Times New Roman"/>
          <w:sz w:val="28"/>
          <w:szCs w:val="28"/>
        </w:rPr>
        <w:t>, в случае</w:t>
      </w:r>
      <w:r w:rsidR="0035221B">
        <w:rPr>
          <w:rFonts w:ascii="Times New Roman" w:hAnsi="Times New Roman" w:cs="Times New Roman"/>
          <w:sz w:val="28"/>
          <w:szCs w:val="28"/>
        </w:rPr>
        <w:t>,</w:t>
      </w:r>
      <w:r w:rsidR="00ED1F27">
        <w:rPr>
          <w:rFonts w:ascii="Times New Roman" w:hAnsi="Times New Roman" w:cs="Times New Roman"/>
          <w:sz w:val="28"/>
          <w:szCs w:val="28"/>
        </w:rPr>
        <w:t xml:space="preserve"> если заявитель не является застройщиком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1F27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1F2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ED1F2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D1F27">
        <w:rPr>
          <w:rFonts w:ascii="Times New Roman" w:hAnsi="Times New Roman" w:cs="Times New Roman"/>
          <w:sz w:val="28"/>
          <w:szCs w:val="28"/>
        </w:rPr>
        <w:t xml:space="preserve"> полномочия на заключение, изменение, исполнение, расторжение договора о проведении проверки сметной стоимости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1F27">
        <w:rPr>
          <w:rFonts w:ascii="Times New Roman" w:hAnsi="Times New Roman" w:cs="Times New Roman"/>
          <w:sz w:val="28"/>
          <w:szCs w:val="28"/>
        </w:rPr>
        <w:t xml:space="preserve"> договор)   оговариваются</w:t>
      </w:r>
      <w:r w:rsidR="00EE3049">
        <w:rPr>
          <w:rFonts w:ascii="Times New Roman" w:hAnsi="Times New Roman" w:cs="Times New Roman"/>
          <w:sz w:val="28"/>
          <w:szCs w:val="28"/>
        </w:rPr>
        <w:t xml:space="preserve"> специально;</w:t>
      </w:r>
    </w:p>
    <w:p w:rsidR="00ED1F27" w:rsidRDefault="005648F2" w:rsidP="007B35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решение</w:t>
      </w:r>
      <w:r w:rsidR="00ED1F27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либо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ED1F27">
        <w:rPr>
          <w:rFonts w:ascii="Times New Roman" w:hAnsi="Times New Roman" w:cs="Times New Roman"/>
          <w:sz w:val="28"/>
          <w:szCs w:val="28"/>
        </w:rPr>
        <w:t xml:space="preserve">, принятое в установленном порядке в отношении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ED1F27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ED1F27" w:rsidRDefault="00ED1F27" w:rsidP="007B35C8">
      <w:pPr>
        <w:widowControl w:val="0"/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bookmarkStart w:id="13" w:name="Par124"/>
      <w:bookmarkEnd w:id="13"/>
      <w:r>
        <w:rPr>
          <w:szCs w:val="28"/>
        </w:rPr>
        <w:t>Для проведения проверки сметной стоимости одновременно с проведением государственной экспертизы представляются документы, указанные в подпунктах 1</w:t>
      </w:r>
      <w:r w:rsidR="00EE3049">
        <w:rPr>
          <w:szCs w:val="28"/>
        </w:rPr>
        <w:t>–</w:t>
      </w:r>
      <w:r>
        <w:rPr>
          <w:szCs w:val="28"/>
        </w:rPr>
        <w:t xml:space="preserve">4, 6, 7 пункта </w:t>
      </w:r>
      <w:r w:rsidRPr="005648F2">
        <w:rPr>
          <w:szCs w:val="28"/>
        </w:rPr>
        <w:t>6</w:t>
      </w:r>
      <w:r>
        <w:rPr>
          <w:szCs w:val="28"/>
        </w:rPr>
        <w:t xml:space="preserve"> настоящего Положения.</w:t>
      </w:r>
    </w:p>
    <w:p w:rsidR="00ED1F27" w:rsidRDefault="00ED1F27" w:rsidP="007B35C8">
      <w:pPr>
        <w:widowControl w:val="0"/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Для проведения проверки сметной стоимости после проведения государственной экспертизы представляются доку</w:t>
      </w:r>
      <w:r w:rsidR="00EE3049">
        <w:rPr>
          <w:szCs w:val="28"/>
        </w:rPr>
        <w:t>менты, указанные в подпунктах 1–2, 5–</w:t>
      </w:r>
      <w:r>
        <w:rPr>
          <w:szCs w:val="28"/>
        </w:rPr>
        <w:t xml:space="preserve">7 пункта </w:t>
      </w:r>
      <w:r w:rsidRPr="005648F2">
        <w:rPr>
          <w:szCs w:val="28"/>
        </w:rPr>
        <w:t>6</w:t>
      </w:r>
      <w:r>
        <w:rPr>
          <w:szCs w:val="28"/>
        </w:rPr>
        <w:t xml:space="preserve"> настоящего Положения. Представление положительного заключения государственной экспертизы не требуется в случае</w:t>
      </w:r>
      <w:r w:rsidR="0035221B">
        <w:rPr>
          <w:szCs w:val="28"/>
        </w:rPr>
        <w:t>,</w:t>
      </w:r>
      <w:r>
        <w:rPr>
          <w:szCs w:val="28"/>
        </w:rPr>
        <w:t xml:space="preserve"> если государственную экспертизу выполняло Учреждение.</w:t>
      </w:r>
    </w:p>
    <w:p w:rsidR="00ED1F27" w:rsidRDefault="00ED1F27" w:rsidP="007B35C8">
      <w:pPr>
        <w:widowControl w:val="0"/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9. Если подготовка проектной документации и результатов инженерных изысканий и их государственная экспертиза не являются обязательными, то для проведения проверки сметной стоимости представляются доку</w:t>
      </w:r>
      <w:r w:rsidR="00EE3049">
        <w:rPr>
          <w:szCs w:val="28"/>
        </w:rPr>
        <w:t>менты, указанные в подпунктах 1–2, 4, 6–</w:t>
      </w:r>
      <w:r>
        <w:rPr>
          <w:szCs w:val="28"/>
        </w:rPr>
        <w:t xml:space="preserve">7 пункта </w:t>
      </w:r>
      <w:r w:rsidRPr="005648F2">
        <w:rPr>
          <w:szCs w:val="28"/>
        </w:rPr>
        <w:t>6</w:t>
      </w:r>
      <w:r>
        <w:rPr>
          <w:szCs w:val="28"/>
        </w:rPr>
        <w:t xml:space="preserve"> настоящего Положения. При этом состав и содержание разделов проектной документации и результатов инженерных изысканий, представляемых для проведения проверки сметной стоимости, определяются в договоре.</w:t>
      </w:r>
    </w:p>
    <w:p w:rsidR="00ED1F27" w:rsidRDefault="00ED1F27" w:rsidP="00ED1F27">
      <w:pPr>
        <w:widowControl w:val="0"/>
        <w:tabs>
          <w:tab w:val="num" w:pos="540"/>
        </w:tabs>
        <w:autoSpaceDE w:val="0"/>
        <w:autoSpaceDN w:val="0"/>
        <w:adjustRightInd w:val="0"/>
        <w:spacing w:before="60"/>
        <w:ind w:firstLine="540"/>
        <w:jc w:val="both"/>
        <w:rPr>
          <w:szCs w:val="28"/>
        </w:rPr>
      </w:pPr>
      <w:r>
        <w:rPr>
          <w:szCs w:val="28"/>
        </w:rPr>
        <w:t>10. Учреждение вправе направить заявителю мотивированный письменный запрос о необходимости представления допол</w:t>
      </w:r>
      <w:r w:rsidR="0035221B">
        <w:rPr>
          <w:szCs w:val="28"/>
        </w:rPr>
        <w:t>нительных расчетных обоснований</w:t>
      </w:r>
      <w:r>
        <w:rPr>
          <w:szCs w:val="28"/>
        </w:rPr>
        <w:t xml:space="preserve">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документацией. Указанные обоснования и материалы представляются заявителем в 10-дневный срок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соответствующего запроса. Не допускается требовать от заявителей представление иных сведений и документов.</w:t>
      </w:r>
    </w:p>
    <w:p w:rsidR="00ED1F27" w:rsidRDefault="0035221B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125"/>
      <w:bookmarkEnd w:id="14"/>
      <w:r>
        <w:rPr>
          <w:szCs w:val="28"/>
        </w:rPr>
        <w:t xml:space="preserve">11. </w:t>
      </w:r>
      <w:proofErr w:type="gramStart"/>
      <w:r>
        <w:rPr>
          <w:szCs w:val="28"/>
        </w:rPr>
        <w:t>В случае</w:t>
      </w:r>
      <w:r w:rsidR="00ED1F27">
        <w:rPr>
          <w:szCs w:val="28"/>
        </w:rPr>
        <w:t xml:space="preserve"> если после составления раздела 11 «Смета на строительство объектов капитального строительства» или раздела 9 «Смета на строительство» проектной документации, предусмотренных соответственно </w:t>
      </w:r>
      <w:r w:rsidR="00ED1F27" w:rsidRPr="005648F2">
        <w:rPr>
          <w:szCs w:val="28"/>
        </w:rPr>
        <w:t>пунктами 28</w:t>
      </w:r>
      <w:r w:rsidR="00EE3049">
        <w:rPr>
          <w:szCs w:val="28"/>
        </w:rPr>
        <w:t>–</w:t>
      </w:r>
      <w:r w:rsidR="00ED1F27" w:rsidRPr="005648F2">
        <w:rPr>
          <w:szCs w:val="28"/>
        </w:rPr>
        <w:t>30</w:t>
      </w:r>
      <w:r w:rsidR="00ED1F27">
        <w:rPr>
          <w:szCs w:val="28"/>
        </w:rPr>
        <w:t xml:space="preserve"> и </w:t>
      </w:r>
      <w:r w:rsidR="00ED1F27" w:rsidRPr="005648F2">
        <w:rPr>
          <w:szCs w:val="28"/>
        </w:rPr>
        <w:t>42</w:t>
      </w:r>
      <w:r w:rsidR="00ED1F27">
        <w:rPr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года № 87 </w:t>
      </w:r>
      <w:r>
        <w:rPr>
          <w:szCs w:val="28"/>
        </w:rPr>
        <w:br/>
      </w:r>
      <w:r w:rsidR="00ED1F27">
        <w:rPr>
          <w:szCs w:val="28"/>
        </w:rPr>
        <w:t>«О составе разделов проектной документации и требованиях к их содержанию», стоимостные</w:t>
      </w:r>
      <w:proofErr w:type="gramEnd"/>
      <w:r w:rsidR="00ED1F27">
        <w:rPr>
          <w:szCs w:val="28"/>
        </w:rPr>
        <w:t xml:space="preserve"> показатели сметных нормативов, с учетом которых были осуществлены расчеты сметной </w:t>
      </w:r>
      <w:proofErr w:type="gramStart"/>
      <w:r w:rsidR="00ED1F27">
        <w:rPr>
          <w:szCs w:val="28"/>
        </w:rPr>
        <w:t>стоимости</w:t>
      </w:r>
      <w:proofErr w:type="gramEnd"/>
      <w:r w:rsidR="00ED1F27">
        <w:rPr>
          <w:szCs w:val="28"/>
        </w:rPr>
        <w:t xml:space="preserve"> строительства, изменились, представление сметной документации для проведения проверки сметной стоимости осуществляется после корректировки этой документации с учетом цен, сложившихся на дату ее представления.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В случае если создание объекта капитального строительства будет осуществляться отдельными этапами, проверка сметной стоимости может проводиться применительно к отдельному этапу строительства.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этом случае документы, указанные в пункте 6 настоящего Положения, представляются применительно к этапам строительства.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Для проведения проверки сметной стоимости сметная документация представляется на бумажном носителе и в электронном виде в формате, установленном в договоре.</w:t>
      </w:r>
    </w:p>
    <w:p w:rsidR="00ED1F27" w:rsidRDefault="00ED1F27" w:rsidP="007B35C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Par129"/>
      <w:bookmarkEnd w:id="15"/>
      <w:r>
        <w:rPr>
          <w:szCs w:val="28"/>
        </w:rPr>
        <w:t xml:space="preserve">14. Учреждение проводит проверку комплектности представленных документов в течение 3 рабочих дней с даты их получения. </w:t>
      </w:r>
    </w:p>
    <w:p w:rsidR="00ED1F27" w:rsidRDefault="00ED1F27" w:rsidP="007B35C8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указанный срок заявителю направляется проект договора, подписанный Учреждением, либо представленные документы возвращаются без рассмотрения.</w:t>
      </w:r>
    </w:p>
    <w:p w:rsidR="00ED1F27" w:rsidRDefault="00ED1F27" w:rsidP="002A7F10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Представленные для проведения проверки сметной стоимости документы подлежат возврату заявителю без рассмотрения по следующим основаниям:</w:t>
      </w:r>
    </w:p>
    <w:p w:rsidR="00ED1F27" w:rsidRDefault="00A20752" w:rsidP="002A7F1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ED1F27">
        <w:rPr>
          <w:szCs w:val="28"/>
        </w:rPr>
        <w:t>проверка сметной стоимости должна осуществляться иной организацией;</w:t>
      </w:r>
    </w:p>
    <w:p w:rsidR="00ED1F27" w:rsidRDefault="00A20752" w:rsidP="002A7F1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D1F27">
        <w:rPr>
          <w:szCs w:val="28"/>
        </w:rPr>
        <w:t xml:space="preserve">несоответствие проектной документации составу и требованиям к содержанию разделов проектной документации, установленным </w:t>
      </w:r>
      <w:r w:rsidR="00ED1F27" w:rsidRPr="005648F2">
        <w:rPr>
          <w:szCs w:val="28"/>
        </w:rPr>
        <w:t>законодательством</w:t>
      </w:r>
      <w:r w:rsidR="00ED1F27">
        <w:rPr>
          <w:szCs w:val="28"/>
        </w:rPr>
        <w:t xml:space="preserve"> Российской Федерации;</w:t>
      </w:r>
    </w:p>
    <w:p w:rsidR="00ED1F27" w:rsidRDefault="00A20752" w:rsidP="00A20752">
      <w:pPr>
        <w:widowControl w:val="0"/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ED1F27">
        <w:rPr>
          <w:szCs w:val="28"/>
        </w:rPr>
        <w:t xml:space="preserve">представление не всех документов, предусмотренных пунктами </w:t>
      </w:r>
      <w:r w:rsidR="00ED1F27" w:rsidRPr="005648F2">
        <w:rPr>
          <w:szCs w:val="28"/>
        </w:rPr>
        <w:t>6</w:t>
      </w:r>
      <w:r w:rsidR="00EE3049">
        <w:rPr>
          <w:szCs w:val="28"/>
        </w:rPr>
        <w:t>–</w:t>
      </w:r>
      <w:r w:rsidR="00ED1F27" w:rsidRPr="005648F2">
        <w:rPr>
          <w:szCs w:val="28"/>
        </w:rPr>
        <w:t>9</w:t>
      </w:r>
      <w:r w:rsidR="00ED1F27">
        <w:rPr>
          <w:szCs w:val="28"/>
        </w:rPr>
        <w:t xml:space="preserve"> и 12 настоящего Положения.</w:t>
      </w:r>
    </w:p>
    <w:p w:rsidR="00ED1F27" w:rsidRDefault="00ED1F27" w:rsidP="002A7F10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16. При возвращении документов без рассмотрения заявление о проведении проверки сметной стоимости не возвращается, а в сопроводительном письме указываются основания возвращения документов, предусмотренные пунктом </w:t>
      </w:r>
      <w:r w:rsidRPr="005648F2">
        <w:rPr>
          <w:szCs w:val="28"/>
        </w:rPr>
        <w:t>15</w:t>
      </w:r>
      <w:r>
        <w:rPr>
          <w:szCs w:val="28"/>
        </w:rPr>
        <w:t xml:space="preserve"> настоящего Положения.</w:t>
      </w:r>
      <w:r>
        <w:t xml:space="preserve"> </w:t>
      </w:r>
    </w:p>
    <w:p w:rsidR="00ED1F27" w:rsidRDefault="00ED1F27" w:rsidP="002A7F10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В случае если в представленных заявителем документах выявлены недостатки, являющиеся основанием для их возвращения без рассмотрения, но которые можно устранить без возврата этих документов, и заявитель не настаивает на их возврате, Учреждение устанавливает срок для устранения таких недостатков, не превышающий 15 рабочих  дней.</w:t>
      </w:r>
    </w:p>
    <w:p w:rsidR="00ED1F27" w:rsidRDefault="00ED1F27" w:rsidP="002A7F10">
      <w:pPr>
        <w:widowControl w:val="0"/>
        <w:tabs>
          <w:tab w:val="num" w:pos="54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</w:t>
      </w:r>
    </w:p>
    <w:p w:rsidR="00ED1F27" w:rsidRDefault="00ED1F27" w:rsidP="002A7F1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 включения норматива цены конструктивного решения в федеральный реестр сметных нормативов оценка расчетов, содержащихся в сметной документации, проводится в целях установления их соответствия иным сметным нормативам (в том числе элементным сметным нормам), включенным в федеральный реестр сметных нормативов.</w:t>
      </w:r>
    </w:p>
    <w:p w:rsidR="00ED1F27" w:rsidRDefault="00ED1F27" w:rsidP="00ED1F27">
      <w:pPr>
        <w:pStyle w:val="ConsPlusNormal"/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Проверка сметной стоимости без проведения государственной экспертизы осуществляется в предусмотренный договором срок, но не более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D1F27" w:rsidRDefault="00ED1F27" w:rsidP="00ED1F27">
      <w:pPr>
        <w:pStyle w:val="ConsPlusNormal"/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сметной стоимости одновременно с проведением государственной экспертизы осуществляется в пределах срока проведения государственной экспертизы.</w:t>
      </w:r>
    </w:p>
    <w:p w:rsidR="00ED1F27" w:rsidRDefault="00ED1F27" w:rsidP="00ED1F27">
      <w:pPr>
        <w:pStyle w:val="ConsPlusNormal"/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проведении проверки сметной стоимости внесение изменений в сметную документацию может осуществляться в сроки и в порядке, которые предусмотрены договором. При этом срок проведения проверки сметной стоимости может быть продлен на основании договора или дополнительного соглашения к нему, но не более чем на 30 рабочих дней.</w:t>
      </w:r>
    </w:p>
    <w:p w:rsidR="00ED1F27" w:rsidRDefault="00ED1F27" w:rsidP="00ED1F27">
      <w:pPr>
        <w:pStyle w:val="ConsPlusNormal"/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если при проведении проверки сметной стоимости выявляются недостатки (отсутствие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 выявленных недостатках и при необходимости устанавливается срок их устранения.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158"/>
      <w:bookmarkEnd w:id="16"/>
      <w:r>
        <w:rPr>
          <w:szCs w:val="28"/>
        </w:rPr>
        <w:lastRenderedPageBreak/>
        <w:t xml:space="preserve">22. Результаты проверки сметной стоимости оформляются в виде заключения о достоверности (положительное заключение) или недостоверности (отрицательное заключение) определения сметной стоимости объекта (далее </w:t>
      </w:r>
      <w:r w:rsidR="00A20752">
        <w:rPr>
          <w:szCs w:val="28"/>
        </w:rPr>
        <w:t>–</w:t>
      </w:r>
      <w:r>
        <w:rPr>
          <w:szCs w:val="28"/>
        </w:rPr>
        <w:t xml:space="preserve"> заключение).</w:t>
      </w:r>
    </w:p>
    <w:p w:rsidR="00ED1F27" w:rsidRDefault="00ED1F27" w:rsidP="00ED1F27">
      <w:pPr>
        <w:pStyle w:val="ConsPlusNormal"/>
        <w:tabs>
          <w:tab w:val="num" w:pos="0"/>
        </w:tabs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Отрицательное заключение оформляется, если:</w:t>
      </w:r>
    </w:p>
    <w:p w:rsidR="00ED1F27" w:rsidRDefault="00ED1F27" w:rsidP="00ED1F27">
      <w:pPr>
        <w:pStyle w:val="ConsPlusNormal"/>
        <w:widowControl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в ходе проверки сметной стоимости недостатки, указанные в </w:t>
      </w:r>
      <w:r w:rsidR="00A20752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A20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невозможно устранить в процессе проведения проверки сметной стоимости или заявитель в установленный срок их не устранил;</w:t>
      </w:r>
    </w:p>
    <w:p w:rsidR="00ED1F27" w:rsidRDefault="00ED1F27" w:rsidP="00ED1F27">
      <w:pPr>
        <w:pStyle w:val="ConsPlusNormal"/>
        <w:widowControl/>
        <w:numPr>
          <w:ilvl w:val="0"/>
          <w:numId w:val="11"/>
        </w:numPr>
        <w:tabs>
          <w:tab w:val="clear" w:pos="180"/>
          <w:tab w:val="num" w:pos="900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расчеты, содержащиеся в сметной документации, произведены не в соответствии со сметными нормативами, включенными в федеральный реестр сметных нормативов;</w:t>
      </w:r>
    </w:p>
    <w:p w:rsidR="00ED1F27" w:rsidRDefault="00ED1F27" w:rsidP="00ED1F27">
      <w:pPr>
        <w:pStyle w:val="ConsPlusNormal"/>
        <w:widowControl/>
        <w:numPr>
          <w:ilvl w:val="0"/>
          <w:numId w:val="11"/>
        </w:numPr>
        <w:tabs>
          <w:tab w:val="clear" w:pos="180"/>
          <w:tab w:val="num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сметной документации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Заключение должно содержать обоснование выводов о достоверности (недостоверности) определения сметной стоимости объекта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В случае отрицательного заключения заявитель вправе представить материалы, указанные в </w:t>
      </w:r>
      <w:r w:rsidR="00EE3049">
        <w:rPr>
          <w:szCs w:val="28"/>
        </w:rPr>
        <w:t>пунктах 6–</w:t>
      </w:r>
      <w:r w:rsidRPr="005648F2">
        <w:rPr>
          <w:szCs w:val="28"/>
        </w:rPr>
        <w:t>9</w:t>
      </w:r>
      <w:r>
        <w:rPr>
          <w:szCs w:val="28"/>
        </w:rPr>
        <w:t xml:space="preserve"> настоящего Положения, на повторную проверку после их доработки по замечаниям и предложениям, изложенным в отрицательном заключении.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221B">
        <w:rPr>
          <w:szCs w:val="28"/>
        </w:rPr>
        <w:t>6</w:t>
      </w:r>
      <w:r>
        <w:rPr>
          <w:szCs w:val="28"/>
        </w:rPr>
        <w:t>. Отрицательное заключение может быть оспорено заявителем в судебном порядке.</w:t>
      </w:r>
    </w:p>
    <w:p w:rsidR="00ED1F27" w:rsidRDefault="00ED1F27" w:rsidP="00ED1F2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221B">
        <w:rPr>
          <w:szCs w:val="28"/>
        </w:rPr>
        <w:t>7</w:t>
      </w:r>
      <w:r>
        <w:rPr>
          <w:szCs w:val="28"/>
        </w:rPr>
        <w:t xml:space="preserve">. Порядок оформления заключения и его форма устанавливаются </w:t>
      </w:r>
      <w:r w:rsidR="00A20752">
        <w:rPr>
          <w:szCs w:val="28"/>
        </w:rPr>
        <w:t>органом исполнительной власти Республики Карелия, осуществляющим функции в сфере строительства.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171"/>
      <w:bookmarkEnd w:id="17"/>
      <w:r>
        <w:rPr>
          <w:szCs w:val="28"/>
        </w:rPr>
        <w:t>2</w:t>
      </w:r>
      <w:r w:rsidR="0035221B">
        <w:rPr>
          <w:szCs w:val="28"/>
        </w:rPr>
        <w:t>8</w:t>
      </w:r>
      <w:r>
        <w:rPr>
          <w:szCs w:val="28"/>
        </w:rPr>
        <w:t xml:space="preserve">. Заключение выдается </w:t>
      </w:r>
      <w:r w:rsidR="00A20752">
        <w:rPr>
          <w:szCs w:val="28"/>
        </w:rPr>
        <w:t xml:space="preserve">в 4 экземплярах </w:t>
      </w:r>
      <w:r>
        <w:rPr>
          <w:szCs w:val="28"/>
        </w:rPr>
        <w:t>заявителю лично или путем направления заказного письма.</w:t>
      </w:r>
    </w:p>
    <w:p w:rsidR="00ED1F27" w:rsidRDefault="00A20752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ED1F27">
        <w:rPr>
          <w:szCs w:val="28"/>
        </w:rPr>
        <w:t>окументы</w:t>
      </w:r>
      <w:r w:rsidR="00EE3049">
        <w:rPr>
          <w:szCs w:val="28"/>
        </w:rPr>
        <w:t>, предусмотренные подпунктами 2–</w:t>
      </w:r>
      <w:r w:rsidR="00ED1F27">
        <w:rPr>
          <w:szCs w:val="28"/>
        </w:rPr>
        <w:t xml:space="preserve">7 </w:t>
      </w:r>
      <w:r w:rsidR="00ED1F27">
        <w:rPr>
          <w:color w:val="000000"/>
          <w:szCs w:val="28"/>
        </w:rPr>
        <w:t>пункта 6</w:t>
      </w:r>
      <w:r w:rsidR="00ED1F27">
        <w:rPr>
          <w:szCs w:val="28"/>
        </w:rPr>
        <w:t xml:space="preserve"> настоящего Положения, подлежат возврату заявителю в сроки и в порядке, которые определены договором.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5221B">
        <w:rPr>
          <w:szCs w:val="28"/>
        </w:rPr>
        <w:t>9</w:t>
      </w:r>
      <w:r>
        <w:rPr>
          <w:szCs w:val="28"/>
        </w:rPr>
        <w:t>. В случае если после получения положительного заключения, но до начала строительства в проектную документацию были внесены изменения, в результате которых сметная стоимость объекта увеличилась, проверка сметной стоимости производится повторно в порядке, установленном для проведения первичной проверки.</w:t>
      </w:r>
    </w:p>
    <w:p w:rsidR="00ED1F27" w:rsidRDefault="0035221B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</w:t>
      </w:r>
      <w:r w:rsidR="00ED1F27">
        <w:rPr>
          <w:szCs w:val="28"/>
        </w:rPr>
        <w:t xml:space="preserve">. Сведения о выданных заключениях подлежат включению в реестр выданных заключений о проверке достоверности сметной стоимости </w:t>
      </w:r>
      <w:r w:rsidR="00ED1F27">
        <w:rPr>
          <w:szCs w:val="28"/>
        </w:rPr>
        <w:lastRenderedPageBreak/>
        <w:t>Республики Карелия.</w:t>
      </w:r>
    </w:p>
    <w:p w:rsidR="00690AF2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5221B">
        <w:rPr>
          <w:szCs w:val="28"/>
        </w:rPr>
        <w:t>1</w:t>
      </w:r>
      <w:r>
        <w:rPr>
          <w:szCs w:val="28"/>
        </w:rPr>
        <w:t>. Ведение реестра выданных заключений о проверке достоверности сметной стоимости Республики Карелия  осуществляется Учреждением в порядке, устан</w:t>
      </w:r>
      <w:r w:rsidR="00690AF2">
        <w:rPr>
          <w:szCs w:val="28"/>
        </w:rPr>
        <w:t>авливаемом органом исполнительной власти Республики Карелия, осуществляющим функции в сфере строительства.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5221B">
        <w:rPr>
          <w:szCs w:val="28"/>
        </w:rPr>
        <w:t>2</w:t>
      </w:r>
      <w:r>
        <w:rPr>
          <w:szCs w:val="28"/>
        </w:rPr>
        <w:t xml:space="preserve">. В случае утраты заключения заявитель вправе получить в Учреждении его дубликат. Выдача дубликата заключения осуществляется без взимания платы в течение 10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письменного обращения заявителя.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18" w:name="sub_700"/>
      <w:r>
        <w:rPr>
          <w:color w:val="000000"/>
          <w:szCs w:val="28"/>
        </w:rPr>
        <w:t>3</w:t>
      </w:r>
      <w:r w:rsidR="0035221B">
        <w:rPr>
          <w:color w:val="000000"/>
          <w:szCs w:val="28"/>
        </w:rPr>
        <w:t>3</w:t>
      </w:r>
      <w:r>
        <w:rPr>
          <w:color w:val="000000"/>
          <w:szCs w:val="28"/>
        </w:rPr>
        <w:t>. За проведение проверки сметной стоимости, которая осуществляется одновременно с проведением государственной экспертизы, взимается плата в размере 20 тыс. руб.</w:t>
      </w: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rStyle w:val="af2"/>
          <w:b w:val="0"/>
          <w:color w:val="000000"/>
          <w:sz w:val="28"/>
          <w:szCs w:val="28"/>
        </w:rPr>
      </w:pPr>
      <w:bookmarkStart w:id="19" w:name="Par22"/>
      <w:bookmarkEnd w:id="19"/>
      <w:r>
        <w:rPr>
          <w:color w:val="000000"/>
          <w:szCs w:val="28"/>
        </w:rPr>
        <w:t>3</w:t>
      </w:r>
      <w:r w:rsidR="0035221B">
        <w:rPr>
          <w:color w:val="000000"/>
          <w:szCs w:val="28"/>
        </w:rPr>
        <w:t>4</w:t>
      </w:r>
      <w:r>
        <w:rPr>
          <w:color w:val="000000"/>
          <w:szCs w:val="28"/>
        </w:rPr>
        <w:t>. Размер платы за проведение проверки сметной стоимости после провед</w:t>
      </w:r>
      <w:r w:rsidR="0035221B">
        <w:rPr>
          <w:color w:val="000000"/>
          <w:szCs w:val="28"/>
        </w:rPr>
        <w:t>ения государственной экспертизы</w:t>
      </w:r>
      <w:r>
        <w:rPr>
          <w:color w:val="000000"/>
          <w:szCs w:val="28"/>
        </w:rPr>
        <w:t xml:space="preserve"> или  объектов, в отношении которых подготовка проектной документации не является обязательной, определяется по формуле:</w:t>
      </w:r>
      <w:r>
        <w:rPr>
          <w:rStyle w:val="af2"/>
          <w:b w:val="0"/>
          <w:color w:val="000000"/>
          <w:szCs w:val="28"/>
        </w:rPr>
        <w:t xml:space="preserve">  </w:t>
      </w:r>
    </w:p>
    <w:p w:rsidR="00ED1F27" w:rsidRDefault="00ED1F27" w:rsidP="00690AF2">
      <w:pPr>
        <w:widowControl w:val="0"/>
        <w:autoSpaceDE w:val="0"/>
        <w:autoSpaceDN w:val="0"/>
        <w:adjustRightInd w:val="0"/>
        <w:spacing w:before="120" w:after="120"/>
        <w:jc w:val="center"/>
      </w:pPr>
      <w:r>
        <w:rPr>
          <w:rStyle w:val="af2"/>
          <w:b w:val="0"/>
          <w:color w:val="000000"/>
          <w:szCs w:val="28"/>
        </w:rPr>
        <w:t>РП = (</w:t>
      </w:r>
      <w:proofErr w:type="spellStart"/>
      <w:r>
        <w:rPr>
          <w:rStyle w:val="af2"/>
          <w:b w:val="0"/>
          <w:color w:val="000000"/>
          <w:szCs w:val="28"/>
        </w:rPr>
        <w:t>Спд</w:t>
      </w:r>
      <w:proofErr w:type="spellEnd"/>
      <w:r>
        <w:rPr>
          <w:rStyle w:val="af2"/>
          <w:b w:val="0"/>
          <w:color w:val="000000"/>
          <w:szCs w:val="28"/>
        </w:rPr>
        <w:t xml:space="preserve"> х 0,15) х </w:t>
      </w:r>
      <w:proofErr w:type="gramStart"/>
      <w:r>
        <w:rPr>
          <w:rStyle w:val="af2"/>
          <w:b w:val="0"/>
          <w:color w:val="000000"/>
          <w:szCs w:val="28"/>
        </w:rPr>
        <w:t>П</w:t>
      </w:r>
      <w:proofErr w:type="gramEnd"/>
      <w:r>
        <w:rPr>
          <w:rStyle w:val="af2"/>
          <w:b w:val="0"/>
          <w:color w:val="000000"/>
          <w:szCs w:val="28"/>
        </w:rPr>
        <w:t xml:space="preserve"> х </w:t>
      </w:r>
      <w:proofErr w:type="spellStart"/>
      <w:r>
        <w:rPr>
          <w:rStyle w:val="af2"/>
          <w:b w:val="0"/>
          <w:color w:val="000000"/>
          <w:szCs w:val="28"/>
        </w:rPr>
        <w:t>Кi</w:t>
      </w:r>
      <w:proofErr w:type="spellEnd"/>
      <w:r>
        <w:rPr>
          <w:rStyle w:val="af2"/>
          <w:b w:val="0"/>
          <w:color w:val="000000"/>
          <w:szCs w:val="28"/>
        </w:rPr>
        <w:t>, где:</w:t>
      </w:r>
    </w:p>
    <w:p w:rsidR="00ED1F27" w:rsidRDefault="00ED1F27" w:rsidP="00EE3049">
      <w:pPr>
        <w:ind w:firstLine="567"/>
        <w:jc w:val="both"/>
        <w:rPr>
          <w:color w:val="000000"/>
          <w:szCs w:val="28"/>
        </w:rPr>
      </w:pPr>
      <w:r>
        <w:rPr>
          <w:rStyle w:val="af2"/>
          <w:b w:val="0"/>
          <w:color w:val="000000"/>
          <w:szCs w:val="28"/>
        </w:rPr>
        <w:t>РП</w:t>
      </w:r>
      <w:r>
        <w:rPr>
          <w:b/>
          <w:color w:val="000000"/>
          <w:szCs w:val="28"/>
        </w:rPr>
        <w:t xml:space="preserve"> </w:t>
      </w:r>
      <w:r w:rsidR="00690AF2">
        <w:rPr>
          <w:b/>
          <w:color w:val="000000"/>
          <w:szCs w:val="28"/>
        </w:rPr>
        <w:t>–</w:t>
      </w:r>
      <w:r>
        <w:rPr>
          <w:color w:val="000000"/>
          <w:szCs w:val="28"/>
        </w:rPr>
        <w:t xml:space="preserve"> размер платы за проведение проверки сметной стоимости;</w:t>
      </w:r>
    </w:p>
    <w:p w:rsidR="00ED1F27" w:rsidRDefault="00ED1F27" w:rsidP="00EE3049">
      <w:pPr>
        <w:ind w:firstLine="567"/>
        <w:jc w:val="both"/>
        <w:rPr>
          <w:color w:val="000000"/>
          <w:szCs w:val="28"/>
        </w:rPr>
      </w:pPr>
      <w:proofErr w:type="spellStart"/>
      <w:r>
        <w:rPr>
          <w:rStyle w:val="af2"/>
          <w:b w:val="0"/>
          <w:color w:val="000000"/>
          <w:szCs w:val="28"/>
        </w:rPr>
        <w:t>Спд</w:t>
      </w:r>
      <w:proofErr w:type="spellEnd"/>
      <w:r>
        <w:rPr>
          <w:color w:val="000000"/>
          <w:szCs w:val="28"/>
        </w:rPr>
        <w:t xml:space="preserve"> </w:t>
      </w:r>
      <w:r w:rsidR="00690AF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стоимость изготовления проектной документации, установленная в договоре подряда между заказчиком и проектной организацией (в рублях);</w:t>
      </w:r>
    </w:p>
    <w:p w:rsidR="00ED1F27" w:rsidRDefault="00ED1F27" w:rsidP="00EE3049">
      <w:pPr>
        <w:ind w:firstLine="567"/>
        <w:jc w:val="both"/>
        <w:rPr>
          <w:szCs w:val="28"/>
        </w:rPr>
      </w:pPr>
      <w:r>
        <w:rPr>
          <w:rStyle w:val="af2"/>
          <w:b w:val="0"/>
          <w:color w:val="000000"/>
          <w:szCs w:val="28"/>
        </w:rPr>
        <w:t>0,15</w:t>
      </w:r>
      <w:r>
        <w:rPr>
          <w:color w:val="000000"/>
          <w:szCs w:val="28"/>
        </w:rPr>
        <w:t xml:space="preserve"> </w:t>
      </w:r>
      <w:r w:rsidR="00690AF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постоянная величина, учитывающая процент стоимости изготовления сметной документации  </w:t>
      </w:r>
      <w:r>
        <w:rPr>
          <w:szCs w:val="28"/>
        </w:rPr>
        <w:t>и проекта организации строительства от стоимости изготовления проектной документации;</w:t>
      </w:r>
    </w:p>
    <w:p w:rsidR="00ED1F27" w:rsidRDefault="00ED1F27" w:rsidP="00EE304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rStyle w:val="af2"/>
          <w:b w:val="0"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</w:t>
      </w:r>
      <w:r w:rsidR="00690AF2">
        <w:rPr>
          <w:b/>
          <w:color w:val="000000"/>
          <w:szCs w:val="28"/>
        </w:rPr>
        <w:t>–</w:t>
      </w:r>
      <w:r>
        <w:rPr>
          <w:color w:val="000000"/>
          <w:szCs w:val="28"/>
        </w:rPr>
        <w:t xml:space="preserve"> процент от стоимости проектных работ согласно приложению к </w:t>
      </w:r>
      <w:hyperlink r:id="rId12" w:history="1">
        <w:r w:rsidRPr="00EE3049">
          <w:rPr>
            <w:rStyle w:val="af3"/>
            <w:b w:val="0"/>
            <w:color w:val="000000"/>
            <w:sz w:val="28"/>
            <w:szCs w:val="28"/>
          </w:rPr>
          <w:t>Положению</w:t>
        </w:r>
      </w:hyperlink>
      <w:r w:rsidRPr="00EE3049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 организации и проведении государственной экспертизы проектной документации и результатов инженерных изысканий, утвержденному </w:t>
      </w:r>
      <w:hyperlink r:id="rId13" w:history="1">
        <w:r>
          <w:rPr>
            <w:rStyle w:val="af3"/>
            <w:b w:val="0"/>
            <w:color w:val="000000"/>
            <w:szCs w:val="28"/>
          </w:rPr>
          <w:t>постановлением</w:t>
        </w:r>
      </w:hyperlink>
      <w:r>
        <w:rPr>
          <w:color w:val="000000"/>
          <w:szCs w:val="28"/>
        </w:rPr>
        <w:t xml:space="preserve"> Правительства  Российской Федерации от </w:t>
      </w:r>
      <w:r w:rsidR="00690AF2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>5 марта 2007 года №</w:t>
      </w:r>
      <w:r w:rsidR="00690A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145 «О порядке </w:t>
      </w:r>
      <w:r>
        <w:rPr>
          <w:szCs w:val="28"/>
        </w:rPr>
        <w:t>организации и проведения государственной экспертизы проектной документации и результатов инженерных изысканий»</w:t>
      </w:r>
      <w:r>
        <w:rPr>
          <w:color w:val="000000"/>
          <w:szCs w:val="28"/>
        </w:rPr>
        <w:t>;</w:t>
      </w:r>
    </w:p>
    <w:p w:rsidR="00ED1F27" w:rsidRDefault="00ED1F27" w:rsidP="00ED1F27">
      <w:pPr>
        <w:ind w:firstLine="567"/>
        <w:jc w:val="both"/>
        <w:rPr>
          <w:color w:val="000000"/>
          <w:szCs w:val="28"/>
        </w:rPr>
      </w:pPr>
      <w:proofErr w:type="spellStart"/>
      <w:r>
        <w:rPr>
          <w:rStyle w:val="af2"/>
          <w:b w:val="0"/>
          <w:color w:val="000000"/>
          <w:szCs w:val="28"/>
        </w:rPr>
        <w:t>Ki</w:t>
      </w:r>
      <w:proofErr w:type="spellEnd"/>
      <w:r>
        <w:rPr>
          <w:color w:val="000000"/>
          <w:szCs w:val="28"/>
        </w:rPr>
        <w:t xml:space="preserve"> </w:t>
      </w:r>
      <w:r w:rsidR="00690AF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коэффициент, отражающий инфляционные процессы по сравнению с 1 января 2001 года,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  <w:bookmarkEnd w:id="18"/>
    </w:p>
    <w:p w:rsidR="0035221B" w:rsidRDefault="0035221B" w:rsidP="00ED1F27">
      <w:pPr>
        <w:ind w:firstLine="567"/>
        <w:jc w:val="both"/>
        <w:rPr>
          <w:color w:val="000000"/>
          <w:szCs w:val="28"/>
        </w:rPr>
      </w:pPr>
    </w:p>
    <w:p w:rsidR="0035221B" w:rsidRDefault="0035221B" w:rsidP="0035221B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</w:t>
      </w:r>
    </w:p>
    <w:p w:rsidR="00ED1F27" w:rsidRDefault="00ED1F27" w:rsidP="00ED1F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D1F27" w:rsidRDefault="00ED1F27" w:rsidP="00ED1F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ED1F27" w:rsidSect="00687DC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473"/>
      <w:docPartObj>
        <w:docPartGallery w:val="Page Numbers (Top of Page)"/>
        <w:docPartUnique/>
      </w:docPartObj>
    </w:sdtPr>
    <w:sdtEndPr/>
    <w:sdtContent>
      <w:p w:rsidR="00397A3C" w:rsidRDefault="00397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9">
          <w:rPr>
            <w:noProof/>
          </w:rPr>
          <w:t>6</w:t>
        </w:r>
        <w:r>
          <w:fldChar w:fldCharType="end"/>
        </w:r>
      </w:p>
    </w:sdtContent>
  </w:sdt>
  <w:p w:rsidR="00397A3C" w:rsidRDefault="00397A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F7FE8"/>
    <w:multiLevelType w:val="hybridMultilevel"/>
    <w:tmpl w:val="71F8C8BA"/>
    <w:lvl w:ilvl="0" w:tplc="D58276F2">
      <w:start w:val="1"/>
      <w:numFmt w:val="decimal"/>
      <w:lvlText w:val="%1)"/>
      <w:lvlJc w:val="left"/>
      <w:pPr>
        <w:tabs>
          <w:tab w:val="num" w:pos="180"/>
        </w:tabs>
        <w:ind w:left="18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00CF0"/>
    <w:multiLevelType w:val="hybridMultilevel"/>
    <w:tmpl w:val="A43880AC"/>
    <w:lvl w:ilvl="0" w:tplc="C0B8E00E">
      <w:start w:val="5"/>
      <w:numFmt w:val="decimal"/>
      <w:lvlText w:val="%1)"/>
      <w:lvlJc w:val="left"/>
      <w:pPr>
        <w:tabs>
          <w:tab w:val="num" w:pos="180"/>
        </w:tabs>
        <w:ind w:left="18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E256E"/>
    <w:multiLevelType w:val="hybridMultilevel"/>
    <w:tmpl w:val="EF10CAEE"/>
    <w:lvl w:ilvl="0" w:tplc="2482ED3A">
      <w:start w:val="2"/>
      <w:numFmt w:val="decimal"/>
      <w:lvlText w:val="%1)"/>
      <w:lvlJc w:val="left"/>
      <w:pPr>
        <w:tabs>
          <w:tab w:val="num" w:pos="180"/>
        </w:tabs>
        <w:ind w:left="18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98111A"/>
    <w:multiLevelType w:val="hybridMultilevel"/>
    <w:tmpl w:val="906C2BE0"/>
    <w:lvl w:ilvl="0" w:tplc="D58276F2">
      <w:start w:val="1"/>
      <w:numFmt w:val="decimal"/>
      <w:lvlText w:val="%1)"/>
      <w:lvlJc w:val="left"/>
      <w:pPr>
        <w:tabs>
          <w:tab w:val="num" w:pos="180"/>
        </w:tabs>
        <w:ind w:left="18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67A7"/>
    <w:rsid w:val="000F4138"/>
    <w:rsid w:val="00103C69"/>
    <w:rsid w:val="0013077C"/>
    <w:rsid w:val="001348C3"/>
    <w:rsid w:val="001605B0"/>
    <w:rsid w:val="00195D34"/>
    <w:rsid w:val="001B2353"/>
    <w:rsid w:val="001B2FF9"/>
    <w:rsid w:val="001C34DC"/>
    <w:rsid w:val="001F4355"/>
    <w:rsid w:val="00226FB2"/>
    <w:rsid w:val="00265050"/>
    <w:rsid w:val="002A6B23"/>
    <w:rsid w:val="002A7F10"/>
    <w:rsid w:val="00307849"/>
    <w:rsid w:val="0035221B"/>
    <w:rsid w:val="0038487A"/>
    <w:rsid w:val="003970D7"/>
    <w:rsid w:val="00397A3C"/>
    <w:rsid w:val="003C4D42"/>
    <w:rsid w:val="003C6BBF"/>
    <w:rsid w:val="003E6EA6"/>
    <w:rsid w:val="004545FA"/>
    <w:rsid w:val="004653C9"/>
    <w:rsid w:val="00465C76"/>
    <w:rsid w:val="004731EA"/>
    <w:rsid w:val="004A24AD"/>
    <w:rsid w:val="004C5199"/>
    <w:rsid w:val="004D445C"/>
    <w:rsid w:val="004E2056"/>
    <w:rsid w:val="00513870"/>
    <w:rsid w:val="00533557"/>
    <w:rsid w:val="005648F2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7DCF"/>
    <w:rsid w:val="00690AF2"/>
    <w:rsid w:val="006E64E6"/>
    <w:rsid w:val="007072B5"/>
    <w:rsid w:val="00726286"/>
    <w:rsid w:val="007501EC"/>
    <w:rsid w:val="00756C1D"/>
    <w:rsid w:val="00757706"/>
    <w:rsid w:val="007705AD"/>
    <w:rsid w:val="007771A7"/>
    <w:rsid w:val="007979F6"/>
    <w:rsid w:val="007B35C8"/>
    <w:rsid w:val="007C2C1F"/>
    <w:rsid w:val="007C7486"/>
    <w:rsid w:val="007D6310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0752"/>
    <w:rsid w:val="00A2446E"/>
    <w:rsid w:val="00A26500"/>
    <w:rsid w:val="00A272A0"/>
    <w:rsid w:val="00A36C25"/>
    <w:rsid w:val="00A41C5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2BD7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01F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1F27"/>
    <w:rsid w:val="00ED69B7"/>
    <w:rsid w:val="00ED6C2A"/>
    <w:rsid w:val="00EE3049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33">
    <w:name w:val="Body Text Indent 3"/>
    <w:basedOn w:val="a"/>
    <w:link w:val="34"/>
    <w:unhideWhenUsed/>
    <w:rsid w:val="00ED1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1F27"/>
    <w:rPr>
      <w:sz w:val="16"/>
      <w:szCs w:val="16"/>
    </w:rPr>
  </w:style>
  <w:style w:type="paragraph" w:customStyle="1" w:styleId="FORMATTEXT">
    <w:name w:val=".FORMATTEXT"/>
    <w:rsid w:val="00ED1F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D1F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ED1F27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rsid w:val="00ED1F27"/>
    <w:rPr>
      <w:b/>
      <w:bCs/>
      <w:color w:val="106BBE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7A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97A3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34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2341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4086-83BB-44B7-97A3-B1414227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1919</Words>
  <Characters>14730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2015-01-23T07:32:00Z</cp:lastPrinted>
  <dcterms:created xsi:type="dcterms:W3CDTF">2015-01-14T06:34:00Z</dcterms:created>
  <dcterms:modified xsi:type="dcterms:W3CDTF">2015-01-23T07:32:00Z</dcterms:modified>
</cp:coreProperties>
</file>