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48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B4825">
        <w:t>20 мая 2015 года № 31</w:t>
      </w:r>
      <w:r w:rsidR="006B4825">
        <w:t>9</w:t>
      </w:r>
      <w:r w:rsidR="006B482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632F9" w:rsidRDefault="00736F92" w:rsidP="00736F92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Российской Федерации от 25 января 2013 года № 30 «О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</w:t>
      </w:r>
      <w:r w:rsidR="00C632F9">
        <w:rPr>
          <w:szCs w:val="28"/>
        </w:rPr>
        <w:t>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культуры, находящимся на территориях сельских поселений, и их работникам», распоряжением Правительства Российской</w:t>
      </w:r>
      <w:proofErr w:type="gramEnd"/>
      <w:r w:rsidR="00C632F9">
        <w:rPr>
          <w:szCs w:val="28"/>
        </w:rPr>
        <w:t xml:space="preserve"> </w:t>
      </w:r>
      <w:proofErr w:type="gramStart"/>
      <w:r w:rsidR="00C632F9">
        <w:rPr>
          <w:szCs w:val="28"/>
        </w:rPr>
        <w:t>Федерации от 18 февраля</w:t>
      </w:r>
      <w:r w:rsidR="0067404D">
        <w:rPr>
          <w:szCs w:val="28"/>
        </w:rPr>
        <w:t xml:space="preserve">         </w:t>
      </w:r>
      <w:r w:rsidR="00C632F9">
        <w:rPr>
          <w:szCs w:val="28"/>
        </w:rPr>
        <w:t xml:space="preserve"> 2015 года № 244-р, приказом Министерства культуры Российской Федерации от 2 апреля 2013 года № 306 «О реализации постановления Правительства Российской Федерации от 25 января 2013 года № 30», постановлением  </w:t>
      </w:r>
      <w:r>
        <w:rPr>
          <w:szCs w:val="28"/>
        </w:rPr>
        <w:t>Правительства Республики Карелия от</w:t>
      </w:r>
      <w:r w:rsidR="00C632F9">
        <w:rPr>
          <w:szCs w:val="28"/>
        </w:rPr>
        <w:t xml:space="preserve"> 23 марта</w:t>
      </w:r>
      <w:r>
        <w:rPr>
          <w:szCs w:val="28"/>
        </w:rPr>
        <w:t xml:space="preserve"> </w:t>
      </w:r>
      <w:r w:rsidR="0067404D">
        <w:rPr>
          <w:szCs w:val="28"/>
        </w:rPr>
        <w:t xml:space="preserve">               </w:t>
      </w:r>
      <w:r>
        <w:rPr>
          <w:szCs w:val="28"/>
        </w:rPr>
        <w:t>20</w:t>
      </w:r>
      <w:r w:rsidR="00C632F9">
        <w:rPr>
          <w:szCs w:val="28"/>
        </w:rPr>
        <w:t xml:space="preserve">09 </w:t>
      </w:r>
      <w:r>
        <w:rPr>
          <w:szCs w:val="28"/>
        </w:rPr>
        <w:t xml:space="preserve">года № </w:t>
      </w:r>
      <w:r w:rsidR="00C632F9">
        <w:rPr>
          <w:szCs w:val="28"/>
        </w:rPr>
        <w:t>57-П «О порядке предоставления иных межбюджетных трансфертов местным бюджетам из бюджета Республики Карелия»:</w:t>
      </w:r>
      <w:proofErr w:type="gramEnd"/>
    </w:p>
    <w:p w:rsidR="00CA2D01" w:rsidRDefault="00736F92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У</w:t>
      </w:r>
      <w:r w:rsidR="0067404D">
        <w:rPr>
          <w:szCs w:val="28"/>
        </w:rPr>
        <w:t>становить</w:t>
      </w:r>
      <w:r>
        <w:rPr>
          <w:szCs w:val="28"/>
        </w:rPr>
        <w:t xml:space="preserve"> распределение на 201</w:t>
      </w:r>
      <w:r w:rsidR="0067404D">
        <w:rPr>
          <w:szCs w:val="28"/>
        </w:rPr>
        <w:t>5</w:t>
      </w:r>
      <w:r>
        <w:rPr>
          <w:szCs w:val="28"/>
        </w:rPr>
        <w:t xml:space="preserve"> год </w:t>
      </w:r>
      <w:r w:rsidR="0067404D">
        <w:rPr>
          <w:szCs w:val="28"/>
        </w:rPr>
        <w:t xml:space="preserve">иных межбюджетных трансфертов </w:t>
      </w:r>
      <w:r>
        <w:rPr>
          <w:szCs w:val="28"/>
        </w:rPr>
        <w:t xml:space="preserve">бюджетам муниципальных </w:t>
      </w:r>
      <w:r w:rsidR="0067404D">
        <w:rPr>
          <w:szCs w:val="28"/>
        </w:rPr>
        <w:t xml:space="preserve">образований на выплату денежных поощрений лучшим муниципальным учреждениям культуры, находящимся на территориях сельских поселений в Республике Карелия, и их работникам </w:t>
      </w:r>
      <w:r>
        <w:rPr>
          <w:szCs w:val="28"/>
        </w:rPr>
        <w:t>согласно приложению</w:t>
      </w:r>
      <w:r w:rsidR="0067404D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7404D" w:rsidRDefault="006A5DA2" w:rsidP="0056141B">
      <w:pPr>
        <w:tabs>
          <w:tab w:val="left" w:pos="8931"/>
        </w:tabs>
        <w:ind w:right="424"/>
        <w:rPr>
          <w:szCs w:val="28"/>
        </w:rPr>
        <w:sectPr w:rsidR="0067404D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F1D94" w:rsidTr="001F1D94">
        <w:tc>
          <w:tcPr>
            <w:tcW w:w="4644" w:type="dxa"/>
          </w:tcPr>
          <w:p w:rsidR="001F1D94" w:rsidRDefault="001F1D94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4927" w:type="dxa"/>
          </w:tcPr>
          <w:p w:rsidR="001F1D94" w:rsidRDefault="001F1D94" w:rsidP="001F1D9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</w:t>
            </w:r>
          </w:p>
          <w:p w:rsidR="001F1D94" w:rsidRDefault="001F1D94" w:rsidP="006B4825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6B4825">
              <w:rPr>
                <w:szCs w:val="28"/>
              </w:rPr>
              <w:t xml:space="preserve"> </w:t>
            </w:r>
            <w:r w:rsidR="006B4825">
              <w:t>20 мая 2015 года № 31</w:t>
            </w:r>
            <w:r w:rsidR="006B4825">
              <w:t>9</w:t>
            </w:r>
            <w:bookmarkStart w:id="0" w:name="_GoBack"/>
            <w:bookmarkEnd w:id="0"/>
            <w:r w:rsidR="006B4825">
              <w:t>р-П</w:t>
            </w:r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1F1D94" w:rsidRDefault="001F1D94" w:rsidP="001F1D94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3E2470" w:rsidRDefault="001F1D94" w:rsidP="001F1D94">
      <w:pPr>
        <w:jc w:val="center"/>
        <w:rPr>
          <w:szCs w:val="28"/>
        </w:rPr>
      </w:pPr>
      <w:r>
        <w:rPr>
          <w:szCs w:val="28"/>
        </w:rPr>
        <w:t>на 2015 год иных межбюджетных трансфертов бюджетам муниципальных образований на выплату денежных поощрений лучшим муниципальным учреждениям культуры, находящимся на территориях сельских поселений</w:t>
      </w:r>
    </w:p>
    <w:p w:rsidR="00334870" w:rsidRDefault="001F1D94" w:rsidP="001F1D94">
      <w:pPr>
        <w:jc w:val="center"/>
        <w:rPr>
          <w:szCs w:val="28"/>
        </w:rPr>
      </w:pPr>
      <w:r>
        <w:rPr>
          <w:szCs w:val="28"/>
        </w:rPr>
        <w:t xml:space="preserve"> в Республике Карелия, и их работникам</w:t>
      </w:r>
    </w:p>
    <w:p w:rsidR="00A812E0" w:rsidRDefault="00A812E0" w:rsidP="00A812E0">
      <w:pPr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A812E0" w:rsidTr="00A812E0">
        <w:tc>
          <w:tcPr>
            <w:tcW w:w="817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095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659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A812E0" w:rsidTr="00A812E0">
        <w:tc>
          <w:tcPr>
            <w:tcW w:w="817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5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659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812E0" w:rsidTr="00A812E0">
        <w:tc>
          <w:tcPr>
            <w:tcW w:w="817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5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национальный муниципальный район, в том числе:</w:t>
            </w:r>
          </w:p>
        </w:tc>
        <w:tc>
          <w:tcPr>
            <w:tcW w:w="2659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812E0" w:rsidTr="00A812E0">
        <w:tc>
          <w:tcPr>
            <w:tcW w:w="817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Чалнинское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659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812E0" w:rsidTr="00A812E0">
        <w:tc>
          <w:tcPr>
            <w:tcW w:w="817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95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национальный муниципальный район</w:t>
            </w:r>
          </w:p>
        </w:tc>
        <w:tc>
          <w:tcPr>
            <w:tcW w:w="2659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812E0" w:rsidTr="00A812E0">
        <w:tc>
          <w:tcPr>
            <w:tcW w:w="817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95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район, в том числе:</w:t>
            </w:r>
          </w:p>
        </w:tc>
        <w:tc>
          <w:tcPr>
            <w:tcW w:w="2659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812E0" w:rsidTr="00A812E0">
        <w:tc>
          <w:tcPr>
            <w:tcW w:w="817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A812E0" w:rsidRDefault="00A812E0" w:rsidP="00A812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Настенъярвское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659" w:type="dxa"/>
          </w:tcPr>
          <w:p w:rsidR="00A812E0" w:rsidRDefault="00A812E0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812E0" w:rsidTr="00A812E0">
        <w:tc>
          <w:tcPr>
            <w:tcW w:w="817" w:type="dxa"/>
          </w:tcPr>
          <w:p w:rsidR="00A812E0" w:rsidRDefault="00CF537B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6095" w:type="dxa"/>
          </w:tcPr>
          <w:p w:rsidR="00A812E0" w:rsidRDefault="00CF537B" w:rsidP="00A812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национальный муниципальный район, в том числе:</w:t>
            </w:r>
          </w:p>
        </w:tc>
        <w:tc>
          <w:tcPr>
            <w:tcW w:w="2659" w:type="dxa"/>
          </w:tcPr>
          <w:p w:rsidR="00A812E0" w:rsidRDefault="00CF537B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CF537B" w:rsidTr="00A812E0">
        <w:tc>
          <w:tcPr>
            <w:tcW w:w="817" w:type="dxa"/>
          </w:tcPr>
          <w:p w:rsidR="00CF537B" w:rsidRDefault="00CF537B" w:rsidP="00A812E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CF537B" w:rsidRDefault="00CF537B" w:rsidP="00A812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Ильинское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659" w:type="dxa"/>
          </w:tcPr>
          <w:p w:rsidR="00CF537B" w:rsidRDefault="00CF537B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CF537B" w:rsidTr="00A812E0">
        <w:tc>
          <w:tcPr>
            <w:tcW w:w="817" w:type="dxa"/>
          </w:tcPr>
          <w:p w:rsidR="00CF537B" w:rsidRDefault="00CF537B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95" w:type="dxa"/>
          </w:tcPr>
          <w:p w:rsidR="00CF537B" w:rsidRDefault="00CF537B" w:rsidP="00A812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9" w:type="dxa"/>
          </w:tcPr>
          <w:p w:rsidR="00CF537B" w:rsidRDefault="00CF537B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CF537B" w:rsidTr="00A812E0">
        <w:tc>
          <w:tcPr>
            <w:tcW w:w="817" w:type="dxa"/>
          </w:tcPr>
          <w:p w:rsidR="00CF537B" w:rsidRDefault="00CF537B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095" w:type="dxa"/>
          </w:tcPr>
          <w:p w:rsidR="00CF537B" w:rsidRDefault="00CF537B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659" w:type="dxa"/>
          </w:tcPr>
          <w:p w:rsidR="00CF537B" w:rsidRDefault="00CF537B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CF537B" w:rsidTr="00A812E0">
        <w:tc>
          <w:tcPr>
            <w:tcW w:w="817" w:type="dxa"/>
          </w:tcPr>
          <w:p w:rsidR="00CF537B" w:rsidRDefault="00CF537B" w:rsidP="00A812E0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</w:tcPr>
          <w:p w:rsidR="00CF537B" w:rsidRDefault="00CF537B" w:rsidP="00A812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659" w:type="dxa"/>
          </w:tcPr>
          <w:p w:rsidR="00CF537B" w:rsidRDefault="00CF537B" w:rsidP="00A812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</w:tbl>
    <w:p w:rsidR="00A812E0" w:rsidRDefault="00A812E0" w:rsidP="00A812E0">
      <w:pPr>
        <w:jc w:val="both"/>
        <w:rPr>
          <w:szCs w:val="28"/>
        </w:rPr>
      </w:pPr>
    </w:p>
    <w:p w:rsidR="003E2470" w:rsidRDefault="003E2470" w:rsidP="001F1D94">
      <w:pPr>
        <w:jc w:val="center"/>
        <w:rPr>
          <w:szCs w:val="28"/>
        </w:rPr>
      </w:pPr>
    </w:p>
    <w:p w:rsidR="00CF537B" w:rsidRDefault="00CF537B" w:rsidP="001F1D94">
      <w:pPr>
        <w:jc w:val="center"/>
        <w:rPr>
          <w:szCs w:val="28"/>
        </w:rPr>
      </w:pPr>
    </w:p>
    <w:p w:rsidR="00CF537B" w:rsidRDefault="00CF537B" w:rsidP="001F1D94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CF537B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16B2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1D94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2470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404D"/>
    <w:rsid w:val="00686F6C"/>
    <w:rsid w:val="006A5DA2"/>
    <w:rsid w:val="006B4825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12E0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37B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DEC3-E227-4FB0-BCBF-29F57299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2015-02-20T14:13:00Z</cp:lastPrinted>
  <dcterms:created xsi:type="dcterms:W3CDTF">2015-05-19T11:56:00Z</dcterms:created>
  <dcterms:modified xsi:type="dcterms:W3CDTF">2015-05-20T08:37:00Z</dcterms:modified>
</cp:coreProperties>
</file>