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4BD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24BDD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724BDD">
        <w:t>3 августа 2015 года № 239-П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D258E7" w:rsidRDefault="00D258E7" w:rsidP="00D258E7">
      <w:pPr>
        <w:spacing w:line="192" w:lineRule="auto"/>
        <w:jc w:val="center"/>
        <w:rPr>
          <w:b/>
          <w:szCs w:val="28"/>
        </w:rPr>
      </w:pPr>
      <w:bookmarkStart w:id="0" w:name="_GoBack"/>
      <w:r>
        <w:rPr>
          <w:b/>
        </w:rPr>
        <w:t xml:space="preserve">О распределении </w:t>
      </w:r>
      <w:r w:rsidR="00D921A1">
        <w:rPr>
          <w:b/>
        </w:rPr>
        <w:t xml:space="preserve">на 2015 год </w:t>
      </w:r>
      <w:r>
        <w:rPr>
          <w:b/>
        </w:rPr>
        <w:t xml:space="preserve">субсидий </w:t>
      </w:r>
      <w:r>
        <w:rPr>
          <w:b/>
          <w:szCs w:val="28"/>
        </w:rPr>
        <w:t xml:space="preserve">бюджетам муниципальных </w:t>
      </w:r>
    </w:p>
    <w:p w:rsidR="00D258E7" w:rsidRDefault="00D258E7" w:rsidP="00D258E7">
      <w:pPr>
        <w:spacing w:line="192" w:lineRule="auto"/>
        <w:jc w:val="center"/>
        <w:rPr>
          <w:b/>
          <w:szCs w:val="28"/>
        </w:rPr>
      </w:pPr>
      <w:r>
        <w:rPr>
          <w:b/>
          <w:szCs w:val="28"/>
        </w:rPr>
        <w:t>образований на обеспечение мероприятий по переселению граждан из аварийного жилищного фонда (этап 2015 года Региональной адресной программы по переселению граждан из аварийного жилищного фонда на 2014-2017 годы)</w:t>
      </w:r>
    </w:p>
    <w:bookmarkEnd w:id="0"/>
    <w:p w:rsidR="00D258E7" w:rsidRDefault="00D258E7" w:rsidP="00D258E7">
      <w:pPr>
        <w:ind w:right="-1"/>
        <w:jc w:val="center"/>
      </w:pPr>
    </w:p>
    <w:p w:rsidR="00D258E7" w:rsidRDefault="00D258E7" w:rsidP="00D258E7">
      <w:pPr>
        <w:jc w:val="both"/>
        <w:rPr>
          <w:b/>
          <w:szCs w:val="28"/>
        </w:rPr>
      </w:pPr>
      <w:r>
        <w:rPr>
          <w:szCs w:val="28"/>
        </w:rPr>
        <w:tab/>
        <w:t xml:space="preserve">В соответствии со статьей 9 Закона Республики Карелия </w:t>
      </w:r>
      <w:r>
        <w:rPr>
          <w:szCs w:val="28"/>
        </w:rPr>
        <w:br/>
        <w:t xml:space="preserve">от  18 декабря 2014 года № 1851-ЗРК «О бюджете Республики Карелия на           2015 год и на плановый период 2016 и 2017 годов»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 </w:t>
      </w:r>
    </w:p>
    <w:p w:rsidR="00D258E7" w:rsidRPr="00D258E7" w:rsidRDefault="00D258E7" w:rsidP="00D258E7">
      <w:pPr>
        <w:jc w:val="both"/>
        <w:rPr>
          <w:b/>
          <w:szCs w:val="28"/>
        </w:rPr>
      </w:pPr>
      <w:r>
        <w:rPr>
          <w:szCs w:val="28"/>
        </w:rPr>
        <w:tab/>
        <w:t xml:space="preserve">Установить распределение </w:t>
      </w:r>
      <w:r w:rsidR="00D921A1">
        <w:rPr>
          <w:szCs w:val="28"/>
        </w:rPr>
        <w:t xml:space="preserve">на 2015 год </w:t>
      </w:r>
      <w:r>
        <w:rPr>
          <w:szCs w:val="28"/>
        </w:rPr>
        <w:t xml:space="preserve">субсидий бюджетам муниципальных образований на </w:t>
      </w:r>
      <w:r w:rsidRPr="00D258E7">
        <w:rPr>
          <w:szCs w:val="28"/>
        </w:rPr>
        <w:t>обеспечение мероприятий по переселению граждан из аварийного жилищного фонда (этап 2015 года Региональной адресной программы по переселению граждан из аварийного жилищного фонда на 2014-2017 годы)</w:t>
      </w:r>
      <w:r>
        <w:rPr>
          <w:b/>
          <w:szCs w:val="28"/>
        </w:rPr>
        <w:t xml:space="preserve"> </w:t>
      </w:r>
      <w:r>
        <w:rPr>
          <w:szCs w:val="28"/>
        </w:rPr>
        <w:t>согласно приложению.</w:t>
      </w:r>
    </w:p>
    <w:p w:rsidR="00D258E7" w:rsidRDefault="00D258E7" w:rsidP="00D258E7"/>
    <w:p w:rsidR="00D258E7" w:rsidRDefault="00D258E7" w:rsidP="00D258E7"/>
    <w:p w:rsidR="00D258E7" w:rsidRDefault="00D258E7" w:rsidP="00D258E7"/>
    <w:p w:rsidR="00D258E7" w:rsidRDefault="00D258E7" w:rsidP="00D258E7">
      <w:pPr>
        <w:rPr>
          <w:szCs w:val="28"/>
        </w:rPr>
      </w:pPr>
      <w:r>
        <w:rPr>
          <w:szCs w:val="28"/>
        </w:rPr>
        <w:t xml:space="preserve">          Глава</w:t>
      </w:r>
    </w:p>
    <w:p w:rsidR="00D258E7" w:rsidRDefault="00D258E7" w:rsidP="00D258E7">
      <w:pPr>
        <w:rPr>
          <w:szCs w:val="28"/>
        </w:rPr>
      </w:pPr>
      <w:r>
        <w:rPr>
          <w:szCs w:val="28"/>
        </w:rPr>
        <w:t xml:space="preserve">Республики Карелия                                                                </w:t>
      </w:r>
      <w:r>
        <w:t xml:space="preserve">А.П. </w:t>
      </w:r>
      <w:proofErr w:type="spellStart"/>
      <w:r>
        <w:t>Худилайнен</w:t>
      </w:r>
      <w:proofErr w:type="spellEnd"/>
    </w:p>
    <w:p w:rsidR="00D258E7" w:rsidRDefault="00D258E7" w:rsidP="00D258E7">
      <w:pPr>
        <w:rPr>
          <w:szCs w:val="28"/>
        </w:rPr>
        <w:sectPr w:rsidR="00D258E7" w:rsidSect="00D258E7">
          <w:type w:val="nextColumn"/>
          <w:pgSz w:w="11906" w:h="16838"/>
          <w:pgMar w:top="1134" w:right="1276" w:bottom="1134" w:left="1559" w:header="720" w:footer="720" w:gutter="0"/>
          <w:pgNumType w:start="1"/>
          <w:cols w:space="720"/>
        </w:sect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D258E7" w:rsidTr="00D258E7">
        <w:tc>
          <w:tcPr>
            <w:tcW w:w="9464" w:type="dxa"/>
          </w:tcPr>
          <w:p w:rsidR="00D258E7" w:rsidRDefault="00D258E7" w:rsidP="00D258E7">
            <w:pPr>
              <w:ind w:firstLine="4962"/>
              <w:rPr>
                <w:szCs w:val="28"/>
              </w:rPr>
            </w:pPr>
            <w:r w:rsidRPr="00D258E7">
              <w:rPr>
                <w:szCs w:val="28"/>
              </w:rPr>
              <w:lastRenderedPageBreak/>
              <w:t xml:space="preserve">Приложение </w:t>
            </w:r>
          </w:p>
          <w:p w:rsidR="00D258E7" w:rsidRPr="00D258E7" w:rsidRDefault="00D258E7" w:rsidP="00D258E7">
            <w:pPr>
              <w:ind w:firstLine="4962"/>
              <w:rPr>
                <w:szCs w:val="28"/>
              </w:rPr>
            </w:pPr>
            <w:r w:rsidRPr="00D258E7">
              <w:rPr>
                <w:szCs w:val="28"/>
              </w:rPr>
              <w:t>к постановлению Правительства</w:t>
            </w:r>
          </w:p>
          <w:p w:rsidR="00D258E7" w:rsidRPr="00D258E7" w:rsidRDefault="00D258E7" w:rsidP="00D258E7">
            <w:pPr>
              <w:ind w:firstLine="4962"/>
              <w:rPr>
                <w:szCs w:val="28"/>
              </w:rPr>
            </w:pPr>
            <w:r w:rsidRPr="00D258E7">
              <w:rPr>
                <w:szCs w:val="28"/>
              </w:rPr>
              <w:t xml:space="preserve">Республики Карелия </w:t>
            </w:r>
          </w:p>
          <w:p w:rsidR="00D258E7" w:rsidRDefault="00D258E7">
            <w:pPr>
              <w:ind w:firstLine="4962"/>
              <w:rPr>
                <w:sz w:val="27"/>
                <w:szCs w:val="27"/>
              </w:rPr>
            </w:pPr>
            <w:r w:rsidRPr="00D258E7">
              <w:rPr>
                <w:szCs w:val="28"/>
              </w:rPr>
              <w:t>от</w:t>
            </w:r>
            <w:r>
              <w:rPr>
                <w:sz w:val="27"/>
                <w:szCs w:val="27"/>
              </w:rPr>
              <w:t xml:space="preserve">  </w:t>
            </w:r>
            <w:r w:rsidR="00724BDD">
              <w:rPr>
                <w:sz w:val="27"/>
                <w:szCs w:val="27"/>
              </w:rPr>
              <w:t>3 августа 2015 года № 239-П</w:t>
            </w:r>
          </w:p>
          <w:p w:rsidR="00D258E7" w:rsidRDefault="00D258E7">
            <w:pPr>
              <w:ind w:firstLine="4962"/>
              <w:rPr>
                <w:sz w:val="27"/>
                <w:szCs w:val="27"/>
              </w:rPr>
            </w:pPr>
          </w:p>
        </w:tc>
      </w:tr>
    </w:tbl>
    <w:p w:rsidR="00385AD0" w:rsidRDefault="00385AD0" w:rsidP="00D258E7">
      <w:pPr>
        <w:jc w:val="center"/>
        <w:rPr>
          <w:szCs w:val="28"/>
        </w:rPr>
      </w:pPr>
    </w:p>
    <w:p w:rsidR="00D258E7" w:rsidRDefault="00385AD0" w:rsidP="00D258E7">
      <w:pPr>
        <w:jc w:val="center"/>
        <w:rPr>
          <w:szCs w:val="28"/>
        </w:rPr>
      </w:pPr>
      <w:r>
        <w:rPr>
          <w:szCs w:val="28"/>
        </w:rPr>
        <w:t xml:space="preserve">Распределение на 2015 год </w:t>
      </w:r>
      <w:r>
        <w:rPr>
          <w:szCs w:val="28"/>
        </w:rPr>
        <w:br/>
        <w:t xml:space="preserve">субсидий бюджетам муниципальных образований на </w:t>
      </w:r>
      <w:r w:rsidRPr="00D258E7">
        <w:rPr>
          <w:szCs w:val="28"/>
        </w:rPr>
        <w:t xml:space="preserve">обеспечение мероприятий по переселению граждан из аварийного жилищного фонда </w:t>
      </w:r>
      <w:r w:rsidR="00D921A1">
        <w:rPr>
          <w:szCs w:val="28"/>
        </w:rPr>
        <w:br/>
      </w:r>
      <w:r w:rsidRPr="00D258E7">
        <w:rPr>
          <w:szCs w:val="28"/>
        </w:rPr>
        <w:t xml:space="preserve">(этап 2015 года Региональной адресной программы по переселению </w:t>
      </w:r>
      <w:r w:rsidR="00D921A1">
        <w:rPr>
          <w:szCs w:val="28"/>
        </w:rPr>
        <w:br/>
      </w:r>
      <w:r w:rsidRPr="00D258E7">
        <w:rPr>
          <w:szCs w:val="28"/>
        </w:rPr>
        <w:t>граждан из аварийного жилищного фонда на 2014-2017 годы)</w:t>
      </w:r>
    </w:p>
    <w:p w:rsidR="00D258E7" w:rsidRDefault="00D258E7" w:rsidP="00D258E7">
      <w:pPr>
        <w:jc w:val="center"/>
        <w:rPr>
          <w:szCs w:val="28"/>
        </w:rPr>
      </w:pPr>
    </w:p>
    <w:p w:rsidR="00D258E7" w:rsidRDefault="00D258E7" w:rsidP="00D258E7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(рублей)</w:t>
      </w:r>
    </w:p>
    <w:tbl>
      <w:tblPr>
        <w:tblStyle w:val="af2"/>
        <w:tblW w:w="0" w:type="auto"/>
        <w:jc w:val="center"/>
        <w:tblInd w:w="-826" w:type="dxa"/>
        <w:tblLayout w:type="fixed"/>
        <w:tblLook w:val="04A0" w:firstRow="1" w:lastRow="0" w:firstColumn="1" w:lastColumn="0" w:noHBand="0" w:noVBand="1"/>
      </w:tblPr>
      <w:tblGrid>
        <w:gridCol w:w="595"/>
        <w:gridCol w:w="3119"/>
        <w:gridCol w:w="1842"/>
        <w:gridCol w:w="1985"/>
        <w:gridCol w:w="1585"/>
      </w:tblGrid>
      <w:tr w:rsidR="00D258E7" w:rsidTr="00385AD0">
        <w:trPr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7" w:rsidRDefault="00D258E7" w:rsidP="00385AD0">
            <w:pPr>
              <w:spacing w:line="192" w:lineRule="auto"/>
              <w:ind w:right="-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 w:rsidR="00385AD0">
              <w:rPr>
                <w:sz w:val="26"/>
                <w:szCs w:val="26"/>
              </w:rPr>
              <w:t>п</w:t>
            </w:r>
            <w:proofErr w:type="gramEnd"/>
            <w:r w:rsidR="00385AD0">
              <w:rPr>
                <w:sz w:val="26"/>
                <w:szCs w:val="26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7" w:rsidRDefault="00D258E7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7" w:rsidRDefault="00D258E7">
            <w:pPr>
              <w:spacing w:line="192" w:lineRule="auto"/>
              <w:ind w:left="-125" w:right="-126" w:firstLine="12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</w:t>
            </w:r>
            <w:r w:rsidR="00C9252F">
              <w:rPr>
                <w:sz w:val="26"/>
                <w:szCs w:val="26"/>
              </w:rPr>
              <w:t>, всего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7" w:rsidRDefault="00D258E7">
            <w:pPr>
              <w:spacing w:line="192" w:lineRule="auto"/>
              <w:ind w:left="-125" w:right="-126" w:firstLine="12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</w:t>
            </w:r>
          </w:p>
        </w:tc>
      </w:tr>
      <w:tr w:rsidR="00D258E7" w:rsidTr="00385AD0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7" w:rsidRDefault="00D258E7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7" w:rsidRDefault="00D258E7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7" w:rsidRDefault="00D258E7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7" w:rsidRDefault="00C9252F" w:rsidP="00C9252F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безвозмездные</w:t>
            </w:r>
            <w:r w:rsidR="00D258E7">
              <w:rPr>
                <w:sz w:val="26"/>
                <w:szCs w:val="26"/>
              </w:rPr>
              <w:t xml:space="preserve"> посту</w:t>
            </w:r>
            <w:r>
              <w:rPr>
                <w:sz w:val="26"/>
                <w:szCs w:val="26"/>
              </w:rPr>
              <w:t>пления от</w:t>
            </w:r>
            <w:r w:rsidR="00D258E7">
              <w:rPr>
                <w:sz w:val="26"/>
                <w:szCs w:val="26"/>
              </w:rPr>
              <w:t xml:space="preserve"> </w:t>
            </w:r>
            <w:proofErr w:type="spellStart"/>
            <w:r w:rsidR="00D258E7">
              <w:rPr>
                <w:sz w:val="26"/>
                <w:szCs w:val="26"/>
              </w:rPr>
              <w:t>государствен</w:t>
            </w:r>
            <w:proofErr w:type="spellEnd"/>
            <w:r w:rsidR="00D258E7">
              <w:rPr>
                <w:sz w:val="26"/>
                <w:szCs w:val="26"/>
              </w:rPr>
              <w:t xml:space="preserve">-ной </w:t>
            </w:r>
            <w:proofErr w:type="spellStart"/>
            <w:r w:rsidR="00D258E7">
              <w:rPr>
                <w:sz w:val="26"/>
                <w:szCs w:val="26"/>
              </w:rPr>
              <w:t>корпор</w:t>
            </w:r>
            <w:proofErr w:type="gramStart"/>
            <w:r w:rsidR="00D258E7">
              <w:rPr>
                <w:sz w:val="26"/>
                <w:szCs w:val="26"/>
              </w:rPr>
              <w:t>а</w:t>
            </w:r>
            <w:proofErr w:type="spellEnd"/>
            <w:r w:rsidR="00D258E7">
              <w:rPr>
                <w:sz w:val="26"/>
                <w:szCs w:val="26"/>
              </w:rPr>
              <w:t>-</w:t>
            </w:r>
            <w:proofErr w:type="gramEnd"/>
            <w:r w:rsidR="00D258E7">
              <w:rPr>
                <w:sz w:val="26"/>
                <w:szCs w:val="26"/>
              </w:rPr>
              <w:t xml:space="preserve"> </w:t>
            </w:r>
            <w:proofErr w:type="spellStart"/>
            <w:r w:rsidR="00D258E7">
              <w:rPr>
                <w:sz w:val="26"/>
                <w:szCs w:val="26"/>
              </w:rPr>
              <w:t>ции</w:t>
            </w:r>
            <w:proofErr w:type="spellEnd"/>
            <w:r w:rsidR="00D258E7">
              <w:rPr>
                <w:sz w:val="26"/>
                <w:szCs w:val="26"/>
              </w:rPr>
              <w:t xml:space="preserve"> – Фонд содействия </w:t>
            </w:r>
            <w:proofErr w:type="spellStart"/>
            <w:r w:rsidR="00D258E7">
              <w:rPr>
                <w:sz w:val="26"/>
                <w:szCs w:val="26"/>
              </w:rPr>
              <w:t>реформирова-нию</w:t>
            </w:r>
            <w:proofErr w:type="spellEnd"/>
            <w:r w:rsidR="00D258E7">
              <w:rPr>
                <w:sz w:val="26"/>
                <w:szCs w:val="26"/>
              </w:rPr>
              <w:t xml:space="preserve"> жилищно-коммунального хозяйства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7" w:rsidRDefault="00D258E7">
            <w:pPr>
              <w:spacing w:line="192" w:lineRule="auto"/>
              <w:ind w:left="-125" w:right="-126" w:firstLine="12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из бюджета Республики Карелия</w:t>
            </w:r>
          </w:p>
        </w:tc>
      </w:tr>
      <w:tr w:rsidR="00D258E7" w:rsidTr="00385AD0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58E7" w:rsidRDefault="00D258E7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58E7" w:rsidRDefault="00385AD0">
            <w:pPr>
              <w:spacing w:line="20" w:lineRule="atLeas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Лахденпохский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муници-пальный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район, в том числе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58E7" w:rsidRDefault="00D258E7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11 802 483,44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58E7" w:rsidRDefault="00D258E7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6 748 303,40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58E7" w:rsidRDefault="00D258E7" w:rsidP="00993A72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5 05</w:t>
            </w:r>
            <w:r w:rsidR="00993A72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 180,04</w:t>
            </w:r>
          </w:p>
        </w:tc>
      </w:tr>
      <w:tr w:rsidR="00D258E7" w:rsidTr="00385AD0">
        <w:trPr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E7" w:rsidRDefault="00D258E7">
            <w:pPr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E7" w:rsidRDefault="00385AD0">
            <w:pPr>
              <w:spacing w:line="20" w:lineRule="atLeas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Лахденпохское</w:t>
            </w:r>
            <w:proofErr w:type="spellEnd"/>
            <w:r>
              <w:rPr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E7" w:rsidRDefault="00D258E7" w:rsidP="00BF1237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11 802 483,44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E7" w:rsidRDefault="00D258E7" w:rsidP="00BF1237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6 748 303,40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E7" w:rsidRDefault="00993A72" w:rsidP="00BF1237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5 054</w:t>
            </w:r>
            <w:r w:rsidR="00D258E7">
              <w:rPr>
                <w:sz w:val="26"/>
                <w:szCs w:val="26"/>
              </w:rPr>
              <w:t> 180,04</w:t>
            </w:r>
          </w:p>
        </w:tc>
      </w:tr>
      <w:tr w:rsidR="00D258E7" w:rsidTr="00385AD0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58E7" w:rsidRDefault="00385AD0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58E7" w:rsidRDefault="00385AD0">
            <w:pPr>
              <w:spacing w:line="20" w:lineRule="atLeas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Пряжинский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националь-ный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муниципальный район, в том числе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58E7" w:rsidRDefault="00D258E7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1 476 148,17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58E7" w:rsidRDefault="00D258E7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824 403,88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58E7" w:rsidRDefault="00D258E7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651 744,29</w:t>
            </w:r>
          </w:p>
        </w:tc>
      </w:tr>
      <w:tr w:rsidR="00D258E7" w:rsidTr="00385AD0">
        <w:trPr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E7" w:rsidRDefault="00D258E7">
            <w:pPr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E7" w:rsidRDefault="00385AD0">
            <w:pPr>
              <w:spacing w:line="20" w:lineRule="atLeas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Эссойльское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E7" w:rsidRDefault="00D258E7" w:rsidP="00BF1237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1 476 148,17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E7" w:rsidRDefault="00D258E7" w:rsidP="00BF1237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824 403,88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E7" w:rsidRDefault="00D258E7" w:rsidP="00BF1237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651 744,29</w:t>
            </w:r>
          </w:p>
        </w:tc>
      </w:tr>
      <w:tr w:rsidR="00D258E7" w:rsidTr="00385AD0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58E7" w:rsidRDefault="00385AD0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58E7" w:rsidRDefault="00385AD0">
            <w:pPr>
              <w:spacing w:line="20" w:lineRule="atLeas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Пудожский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муниципаль-ный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район, в том числе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58E7" w:rsidRDefault="00D258E7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1 507 472,27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58E7" w:rsidRDefault="00D258E7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841 897,86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58E7" w:rsidRDefault="00C9252F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  <w:r w:rsidR="00D258E7">
              <w:rPr>
                <w:sz w:val="26"/>
                <w:szCs w:val="26"/>
              </w:rPr>
              <w:t>5 574,41</w:t>
            </w:r>
          </w:p>
        </w:tc>
      </w:tr>
      <w:tr w:rsidR="00385AD0" w:rsidTr="00385AD0">
        <w:trPr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D0" w:rsidRDefault="00385AD0">
            <w:pPr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D0" w:rsidRDefault="00385AD0">
            <w:pPr>
              <w:spacing w:line="20" w:lineRule="atLeas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Пудожское</w:t>
            </w:r>
            <w:proofErr w:type="spellEnd"/>
            <w:r>
              <w:rPr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D0" w:rsidRDefault="00385AD0" w:rsidP="00205D5A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1 507 472,27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D0" w:rsidRDefault="00385AD0" w:rsidP="00205D5A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841 897,86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D0" w:rsidRDefault="00C9252F" w:rsidP="00205D5A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  <w:r w:rsidR="00385AD0">
              <w:rPr>
                <w:sz w:val="26"/>
                <w:szCs w:val="26"/>
              </w:rPr>
              <w:t>5 574,41</w:t>
            </w:r>
          </w:p>
        </w:tc>
      </w:tr>
      <w:tr w:rsidR="00385AD0" w:rsidTr="00385AD0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D0" w:rsidRDefault="00385AD0" w:rsidP="00D7022F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D0" w:rsidRDefault="00385AD0" w:rsidP="00D7022F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Нераспределенный остаток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D0" w:rsidRDefault="00385AD0" w:rsidP="00D7022F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52 386 565,16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D0" w:rsidRDefault="00385AD0" w:rsidP="00D7022F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52 338 941,66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D0" w:rsidRDefault="00385AD0" w:rsidP="00D7022F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47 623,50</w:t>
            </w:r>
          </w:p>
        </w:tc>
      </w:tr>
      <w:tr w:rsidR="00D258E7" w:rsidTr="00385AD0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E7" w:rsidRDefault="00D258E7">
            <w:pPr>
              <w:spacing w:before="120" w:after="120"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7" w:rsidRDefault="00D258E7">
            <w:pPr>
              <w:spacing w:before="120" w:after="120"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7" w:rsidRDefault="00D258E7">
            <w:pPr>
              <w:spacing w:before="120" w:after="120"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67 172 669,04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7" w:rsidRDefault="00D258E7">
            <w:pPr>
              <w:spacing w:before="120" w:after="120"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60 753 546,80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E7" w:rsidRDefault="00D258E7">
            <w:pPr>
              <w:spacing w:before="120" w:after="120"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6 419 122,24</w:t>
            </w:r>
          </w:p>
        </w:tc>
      </w:tr>
    </w:tbl>
    <w:p w:rsidR="00D258E7" w:rsidRDefault="00D258E7" w:rsidP="00D258E7">
      <w:pPr>
        <w:jc w:val="both"/>
        <w:rPr>
          <w:szCs w:val="28"/>
        </w:rPr>
      </w:pPr>
    </w:p>
    <w:p w:rsidR="00330B89" w:rsidRDefault="00D258E7" w:rsidP="00D258E7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</w:t>
      </w:r>
    </w:p>
    <w:p w:rsidR="00385AD0" w:rsidRDefault="00385AD0" w:rsidP="00D258E7">
      <w:pPr>
        <w:autoSpaceDE w:val="0"/>
        <w:autoSpaceDN w:val="0"/>
        <w:adjustRightInd w:val="0"/>
        <w:jc w:val="center"/>
        <w:rPr>
          <w:szCs w:val="28"/>
        </w:rPr>
      </w:pP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5E6921">
      <w:headerReference w:type="first" r:id="rId10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85AD0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6F3C"/>
    <w:rsid w:val="007072B5"/>
    <w:rsid w:val="00724BDD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93A72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52F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258E7"/>
    <w:rsid w:val="00D42F13"/>
    <w:rsid w:val="00D921A1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table" w:styleId="af2">
    <w:name w:val="Table Grid"/>
    <w:basedOn w:val="a1"/>
    <w:uiPriority w:val="59"/>
    <w:rsid w:val="00D25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3923C-09D3-49DD-8E6D-B7C7C12EB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2015-07-23T12:12:00Z</cp:lastPrinted>
  <dcterms:created xsi:type="dcterms:W3CDTF">2015-07-22T08:55:00Z</dcterms:created>
  <dcterms:modified xsi:type="dcterms:W3CDTF">2015-08-07T13:12:00Z</dcterms:modified>
</cp:coreProperties>
</file>