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1CB" w:rsidRPr="00FE21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920A5">
        <w:t>23 сентября 2015 года № 305-П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3E46CC" w:rsidRDefault="003E46CC" w:rsidP="003E46C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 реализации статьи 8</w:t>
      </w:r>
      <w:r>
        <w:rPr>
          <w:b/>
          <w:szCs w:val="28"/>
          <w:vertAlign w:val="superscript"/>
        </w:rPr>
        <w:t xml:space="preserve">1 </w:t>
      </w:r>
      <w:r>
        <w:rPr>
          <w:b/>
          <w:szCs w:val="28"/>
        </w:rPr>
        <w:t xml:space="preserve">Закона Республики Карелия </w:t>
      </w:r>
      <w:r>
        <w:rPr>
          <w:b/>
          <w:szCs w:val="28"/>
        </w:rPr>
        <w:br/>
        <w:t xml:space="preserve">«О бюджете Республики Карелия на 2015 год и на плановый </w:t>
      </w:r>
      <w:r>
        <w:rPr>
          <w:b/>
          <w:szCs w:val="28"/>
        </w:rPr>
        <w:br/>
        <w:t>период 2016 и 2017 годов»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3E46CC" w:rsidRDefault="003E46CC" w:rsidP="003E46CC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</w:t>
      </w:r>
      <w:r w:rsidRPr="003E46CC">
        <w:rPr>
          <w:szCs w:val="28"/>
        </w:rPr>
        <w:t>8</w:t>
      </w:r>
      <w:r w:rsidRPr="003E46CC">
        <w:rPr>
          <w:szCs w:val="28"/>
          <w:vertAlign w:val="superscript"/>
        </w:rPr>
        <w:t xml:space="preserve">1 </w:t>
      </w:r>
      <w:r w:rsidRPr="003E46CC">
        <w:rPr>
          <w:szCs w:val="28"/>
        </w:rPr>
        <w:t xml:space="preserve">Закона Республики Карелия </w:t>
      </w:r>
      <w:r w:rsidR="00EB4D8C">
        <w:rPr>
          <w:szCs w:val="28"/>
        </w:rPr>
        <w:t xml:space="preserve">от 18 декабря 2014 года № 1851-ЗРК </w:t>
      </w:r>
      <w:r w:rsidRPr="003E46CC">
        <w:rPr>
          <w:szCs w:val="28"/>
        </w:rPr>
        <w:t>«О бюджете Республики Кар</w:t>
      </w:r>
      <w:r w:rsidR="00EB4D8C">
        <w:rPr>
          <w:szCs w:val="28"/>
        </w:rPr>
        <w:t xml:space="preserve">елия на 2015 год и на плановый </w:t>
      </w:r>
      <w:r w:rsidRPr="003E46CC">
        <w:rPr>
          <w:szCs w:val="28"/>
        </w:rPr>
        <w:t>период 2016 и 2017 годов»</w:t>
      </w:r>
      <w:r>
        <w:rPr>
          <w:szCs w:val="28"/>
        </w:rPr>
        <w:t xml:space="preserve"> Правительство Республики Карелия </w:t>
      </w:r>
      <w:r>
        <w:rPr>
          <w:szCs w:val="28"/>
        </w:rPr>
        <w:br/>
      </w:r>
      <w:proofErr w:type="spellStart"/>
      <w:proofErr w:type="gramStart"/>
      <w:r w:rsidRPr="003E46CC">
        <w:rPr>
          <w:b/>
          <w:szCs w:val="28"/>
        </w:rPr>
        <w:t>п</w:t>
      </w:r>
      <w:proofErr w:type="spellEnd"/>
      <w:proofErr w:type="gramEnd"/>
      <w:r w:rsidRPr="003E46CC">
        <w:rPr>
          <w:b/>
          <w:szCs w:val="28"/>
        </w:rPr>
        <w:t xml:space="preserve"> о с т а </w:t>
      </w:r>
      <w:proofErr w:type="spellStart"/>
      <w:r w:rsidRPr="003E46CC">
        <w:rPr>
          <w:b/>
          <w:szCs w:val="28"/>
        </w:rPr>
        <w:t>н</w:t>
      </w:r>
      <w:proofErr w:type="spellEnd"/>
      <w:r w:rsidRPr="003E46CC">
        <w:rPr>
          <w:b/>
          <w:szCs w:val="28"/>
        </w:rPr>
        <w:t xml:space="preserve"> о в л я е т:</w:t>
      </w:r>
    </w:p>
    <w:p w:rsidR="003E46CC" w:rsidRDefault="003E46CC" w:rsidP="003E46CC">
      <w:pPr>
        <w:ind w:firstLine="709"/>
        <w:jc w:val="both"/>
        <w:rPr>
          <w:szCs w:val="28"/>
        </w:rPr>
      </w:pPr>
      <w:r w:rsidRPr="003E46CC">
        <w:rPr>
          <w:szCs w:val="28"/>
        </w:rPr>
        <w:t>1. Утвердить перечень субсидий юридическим лицам</w:t>
      </w:r>
      <w:r>
        <w:rPr>
          <w:szCs w:val="28"/>
        </w:rPr>
        <w:t xml:space="preserve"> (за исключением субсидий бюджетным и автономным учреждениям Республики Карелия), которые в 2015 году подлежат перечислению на счета, открытые Управлению Федерального казначейства по Республике Карели</w:t>
      </w:r>
      <w:r w:rsidR="00EB4D8C">
        <w:rPr>
          <w:szCs w:val="28"/>
        </w:rPr>
        <w:t>я  в учреждении Центрального бан</w:t>
      </w:r>
      <w:r>
        <w:rPr>
          <w:szCs w:val="28"/>
        </w:rPr>
        <w:t>ка Российской Федерации, согласно приложению.</w:t>
      </w:r>
    </w:p>
    <w:p w:rsidR="003E46CC" w:rsidRPr="003E46CC" w:rsidRDefault="003E46CC" w:rsidP="003E46CC">
      <w:pPr>
        <w:ind w:firstLine="709"/>
        <w:jc w:val="both"/>
        <w:rPr>
          <w:szCs w:val="28"/>
        </w:rPr>
      </w:pPr>
      <w:r>
        <w:rPr>
          <w:szCs w:val="28"/>
        </w:rPr>
        <w:t>2. Установить, что в 2015 году перечисление средств, отраженных на лицевых счетах, открытых юридическим лицам в Управлении Федерального казначейства по Республи</w:t>
      </w:r>
      <w:r w:rsidR="00EB4D8C">
        <w:rPr>
          <w:szCs w:val="28"/>
        </w:rPr>
        <w:t>ке Карелия для учета операций с</w:t>
      </w:r>
      <w:r>
        <w:rPr>
          <w:szCs w:val="28"/>
        </w:rPr>
        <w:t>о средствам</w:t>
      </w:r>
      <w:r w:rsidR="00EB4D8C">
        <w:rPr>
          <w:szCs w:val="28"/>
        </w:rPr>
        <w:t>и</w:t>
      </w:r>
      <w:r>
        <w:rPr>
          <w:szCs w:val="28"/>
        </w:rPr>
        <w:t xml:space="preserve"> юридических лиц, не являющихся участниками бюджетного процесса, для оплаты обязательств по расходам юридических лиц, источником финансового обеспечения которых  являются субсидии юридическим лицам (за исключением субсидий бюджетным и автономным учреждениям Республики Карелия</w:t>
      </w:r>
      <w:r w:rsidR="00EC0D04">
        <w:rPr>
          <w:szCs w:val="28"/>
        </w:rPr>
        <w:t xml:space="preserve">), включенные в перечень, указанный в пункте 1 настоящего постановления, осуществляется по результатам санкционирования указанных расходов в порядке, установленном Министерством финансов Республики Карелия. </w:t>
      </w:r>
      <w:r>
        <w:rPr>
          <w:szCs w:val="28"/>
        </w:rPr>
        <w:t xml:space="preserve">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EC0D04" w:rsidP="00EC0D04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EC0D04" w:rsidRDefault="00EC0D04" w:rsidP="00EC0D04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>к постановлению Правительства</w:t>
      </w:r>
    </w:p>
    <w:p w:rsidR="00EC0D04" w:rsidRDefault="00EC0D04" w:rsidP="00EC0D04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EC0D04" w:rsidRDefault="006B31ED" w:rsidP="00EC0D04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>о</w:t>
      </w:r>
      <w:r w:rsidR="00EC0D04">
        <w:rPr>
          <w:szCs w:val="28"/>
        </w:rPr>
        <w:t>т</w:t>
      </w:r>
      <w:r>
        <w:rPr>
          <w:szCs w:val="28"/>
        </w:rPr>
        <w:t xml:space="preserve"> 23 сентября 2015 года № 305-П</w:t>
      </w:r>
    </w:p>
    <w:p w:rsidR="00EC0D04" w:rsidRDefault="00EC0D04" w:rsidP="00EC0D04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EC0D04" w:rsidRDefault="00EC0D04" w:rsidP="00EC0D04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EC0D04" w:rsidRDefault="00EC0D04" w:rsidP="00EC0D0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</w:t>
      </w:r>
      <w:r w:rsidRPr="003E46CC">
        <w:rPr>
          <w:szCs w:val="28"/>
        </w:rPr>
        <w:t>еречень субсидий юридическим лицам</w:t>
      </w:r>
      <w:r>
        <w:rPr>
          <w:szCs w:val="28"/>
        </w:rPr>
        <w:t xml:space="preserve"> (за исключением субсидий бюджетным и автономным учреждениям Республики Карелия), которые в 2015 году подлежат перечислению на счета, открытые Управлению Федерального казначейства по Республике Карели</w:t>
      </w:r>
      <w:r w:rsidR="00781FF4">
        <w:rPr>
          <w:szCs w:val="28"/>
        </w:rPr>
        <w:t>я  в учреждении Центрального бан</w:t>
      </w:r>
      <w:r>
        <w:rPr>
          <w:szCs w:val="28"/>
        </w:rPr>
        <w:t>ка Российской Федерации</w:t>
      </w:r>
    </w:p>
    <w:p w:rsidR="00EC0D04" w:rsidRDefault="00EC0D04" w:rsidP="00EC0D04">
      <w:pPr>
        <w:autoSpaceDE w:val="0"/>
        <w:autoSpaceDN w:val="0"/>
        <w:adjustRightInd w:val="0"/>
        <w:jc w:val="center"/>
        <w:rPr>
          <w:szCs w:val="28"/>
        </w:rPr>
      </w:pPr>
    </w:p>
    <w:p w:rsidR="00EC0D04" w:rsidRDefault="00EC0D04" w:rsidP="00EC0D04">
      <w:pPr>
        <w:autoSpaceDE w:val="0"/>
        <w:autoSpaceDN w:val="0"/>
        <w:adjustRightInd w:val="0"/>
        <w:jc w:val="center"/>
        <w:rPr>
          <w:szCs w:val="28"/>
        </w:rPr>
      </w:pPr>
    </w:p>
    <w:p w:rsidR="00EC0D04" w:rsidRDefault="00EC0D04" w:rsidP="00EC0D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Субсидии на организацию деятельности регионального оператора капитального ремонта общего имущества в многоквартирных домах в рамках подпрограммы «Создание условий для обеспечения качественными жилищно-коммунальными услугами граждан в Республике Карелия» государственной программы Республики Карелия «Обеспечение доступным и комфортным жильем и жилищно-коммунальны</w:t>
      </w:r>
      <w:r w:rsidR="00EB4D8C">
        <w:rPr>
          <w:szCs w:val="28"/>
        </w:rPr>
        <w:t xml:space="preserve">ми услугами» </w:t>
      </w:r>
      <w:r w:rsidR="00EB4D8C">
        <w:rPr>
          <w:szCs w:val="28"/>
        </w:rPr>
        <w:br/>
        <w:t>на 2014-2020 годы</w:t>
      </w:r>
    </w:p>
    <w:sectPr w:rsidR="00EC0D04" w:rsidSect="005E6921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20A5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46CC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B31ED"/>
    <w:rsid w:val="006E64E6"/>
    <w:rsid w:val="007072B5"/>
    <w:rsid w:val="00726286"/>
    <w:rsid w:val="00756C1D"/>
    <w:rsid w:val="00757706"/>
    <w:rsid w:val="007705AD"/>
    <w:rsid w:val="007771A7"/>
    <w:rsid w:val="00781FF4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B4D8C"/>
    <w:rsid w:val="00EC0D04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E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AAB0-D2C4-4F4F-93C0-067FBC30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2015-09-24T08:08:00Z</cp:lastPrinted>
  <dcterms:created xsi:type="dcterms:W3CDTF">2015-09-17T13:43:00Z</dcterms:created>
  <dcterms:modified xsi:type="dcterms:W3CDTF">2015-09-24T08:09:00Z</dcterms:modified>
</cp:coreProperties>
</file>