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D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93D93">
        <w:t>10 декабря 2015 года № 405-П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FF7" w:rsidRDefault="00B02FF7" w:rsidP="00B02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О распределении на 2016 год субсидий бюджетам</w:t>
      </w:r>
    </w:p>
    <w:p w:rsidR="00B02FF7" w:rsidRDefault="00B02FF7" w:rsidP="00B02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образований на обеспечение мероприятий</w:t>
      </w:r>
    </w:p>
    <w:p w:rsidR="00B02FF7" w:rsidRPr="0073792F" w:rsidRDefault="00B02FF7" w:rsidP="00B02F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переселению граждан из аварийного жилищного фонда </w:t>
      </w:r>
      <w:r w:rsidRPr="00B56E8C">
        <w:rPr>
          <w:b/>
          <w:bCs/>
        </w:rPr>
        <w:t>(этап 2015 года Региональной адресной программы по переселению граждан из аварийного жилищ</w:t>
      </w:r>
      <w:r>
        <w:rPr>
          <w:b/>
          <w:bCs/>
        </w:rPr>
        <w:t>ного фонда на 2014-2017 годы)</w:t>
      </w:r>
    </w:p>
    <w:bookmarkEnd w:id="0"/>
    <w:p w:rsidR="00B02FF7" w:rsidRPr="00220C9A" w:rsidRDefault="00B02FF7" w:rsidP="00B02FF7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</w:p>
    <w:p w:rsidR="00B02FF7" w:rsidRDefault="00B02FF7" w:rsidP="00B02FF7">
      <w:pPr>
        <w:widowControl w:val="0"/>
        <w:autoSpaceDE w:val="0"/>
        <w:autoSpaceDN w:val="0"/>
        <w:adjustRightInd w:val="0"/>
        <w:ind w:firstLine="540"/>
        <w:jc w:val="both"/>
      </w:pPr>
    </w:p>
    <w:p w:rsidR="00B02FF7" w:rsidRDefault="00B02FF7" w:rsidP="00B02FF7">
      <w:pPr>
        <w:widowControl w:val="0"/>
        <w:autoSpaceDE w:val="0"/>
        <w:autoSpaceDN w:val="0"/>
        <w:adjustRightInd w:val="0"/>
        <w:ind w:firstLine="540"/>
        <w:jc w:val="both"/>
      </w:pPr>
    </w:p>
    <w:p w:rsidR="00B02FF7" w:rsidRDefault="00B02FF7" w:rsidP="00B02FF7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 Правительство Республики Карелия</w:t>
      </w:r>
      <w:r>
        <w:br/>
        <w:t xml:space="preserve"> </w:t>
      </w:r>
      <w:proofErr w:type="gramStart"/>
      <w:r w:rsidRPr="00854573">
        <w:rPr>
          <w:b/>
        </w:rPr>
        <w:t>п</w:t>
      </w:r>
      <w:proofErr w:type="gramEnd"/>
      <w:r>
        <w:rPr>
          <w:b/>
        </w:rPr>
        <w:t xml:space="preserve"> </w:t>
      </w:r>
      <w:r w:rsidRPr="00854573">
        <w:rPr>
          <w:b/>
        </w:rPr>
        <w:t>о</w:t>
      </w:r>
      <w:r>
        <w:rPr>
          <w:b/>
        </w:rPr>
        <w:t xml:space="preserve"> </w:t>
      </w:r>
      <w:r w:rsidRPr="00854573">
        <w:rPr>
          <w:b/>
        </w:rPr>
        <w:t>с</w:t>
      </w:r>
      <w:r>
        <w:rPr>
          <w:b/>
        </w:rPr>
        <w:t xml:space="preserve"> </w:t>
      </w:r>
      <w:r w:rsidRPr="00854573">
        <w:rPr>
          <w:b/>
        </w:rPr>
        <w:t>т</w:t>
      </w:r>
      <w:r>
        <w:rPr>
          <w:b/>
        </w:rPr>
        <w:t xml:space="preserve"> </w:t>
      </w:r>
      <w:r w:rsidRPr="00854573">
        <w:rPr>
          <w:b/>
        </w:rPr>
        <w:t>а</w:t>
      </w:r>
      <w:r>
        <w:rPr>
          <w:b/>
        </w:rPr>
        <w:t xml:space="preserve"> </w:t>
      </w:r>
      <w:r w:rsidRPr="00854573">
        <w:rPr>
          <w:b/>
        </w:rPr>
        <w:t>н</w:t>
      </w:r>
      <w:r>
        <w:rPr>
          <w:b/>
        </w:rPr>
        <w:t xml:space="preserve"> </w:t>
      </w:r>
      <w:r w:rsidRPr="00854573">
        <w:rPr>
          <w:b/>
        </w:rPr>
        <w:t>о</w:t>
      </w:r>
      <w:r>
        <w:rPr>
          <w:b/>
        </w:rPr>
        <w:t xml:space="preserve"> </w:t>
      </w:r>
      <w:r w:rsidRPr="00854573">
        <w:rPr>
          <w:b/>
        </w:rPr>
        <w:t>в</w:t>
      </w:r>
      <w:r>
        <w:rPr>
          <w:b/>
        </w:rPr>
        <w:t xml:space="preserve"> </w:t>
      </w:r>
      <w:r w:rsidRPr="00854573">
        <w:rPr>
          <w:b/>
        </w:rPr>
        <w:t>л</w:t>
      </w:r>
      <w:r>
        <w:rPr>
          <w:b/>
        </w:rPr>
        <w:t xml:space="preserve"> </w:t>
      </w:r>
      <w:r w:rsidRPr="00854573">
        <w:rPr>
          <w:b/>
        </w:rPr>
        <w:t>я</w:t>
      </w:r>
      <w:r>
        <w:rPr>
          <w:b/>
        </w:rPr>
        <w:t xml:space="preserve"> </w:t>
      </w:r>
      <w:r w:rsidRPr="00854573">
        <w:rPr>
          <w:b/>
        </w:rPr>
        <w:t>е</w:t>
      </w:r>
      <w:r>
        <w:rPr>
          <w:b/>
        </w:rPr>
        <w:t xml:space="preserve"> </w:t>
      </w:r>
      <w:r w:rsidRPr="00854573">
        <w:rPr>
          <w:b/>
        </w:rPr>
        <w:t>т</w:t>
      </w:r>
      <w:r>
        <w:t>:</w:t>
      </w:r>
    </w:p>
    <w:p w:rsidR="00B02FF7" w:rsidRDefault="00B02FF7" w:rsidP="00B02F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Установить распределение на 2016 год субсидий бюджетам муниципальных образований на обеспечение мероприятий по переселению граждан из аварийного жилищного фонда </w:t>
      </w:r>
      <w:r w:rsidRPr="00744D0C">
        <w:t>(этап 2015 года Региональной адресной программы по переселению граждан из аварийного жилищ</w:t>
      </w:r>
      <w:r>
        <w:t>ного фонда на 2014-2017 годы)  согласно приложению.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FF7" w:rsidRDefault="00B02FF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B02FF7" w:rsidRDefault="00B02FF7" w:rsidP="00B02FF7">
      <w:pPr>
        <w:widowControl w:val="0"/>
        <w:autoSpaceDE w:val="0"/>
        <w:autoSpaceDN w:val="0"/>
        <w:adjustRightInd w:val="0"/>
        <w:ind w:left="2160"/>
        <w:jc w:val="center"/>
        <w:outlineLvl w:val="0"/>
      </w:pPr>
      <w:r>
        <w:t xml:space="preserve">  </w:t>
      </w:r>
      <w:r>
        <w:tab/>
      </w:r>
    </w:p>
    <w:p w:rsidR="00B02FF7" w:rsidRDefault="00B02FF7" w:rsidP="00B02FF7">
      <w:pPr>
        <w:widowControl w:val="0"/>
        <w:autoSpaceDE w:val="0"/>
        <w:autoSpaceDN w:val="0"/>
        <w:adjustRightInd w:val="0"/>
        <w:ind w:left="2160"/>
        <w:jc w:val="center"/>
        <w:outlineLvl w:val="0"/>
      </w:pPr>
    </w:p>
    <w:p w:rsidR="00B02FF7" w:rsidRDefault="00B02FF7" w:rsidP="00B02FF7">
      <w:pPr>
        <w:widowControl w:val="0"/>
        <w:autoSpaceDE w:val="0"/>
        <w:autoSpaceDN w:val="0"/>
        <w:adjustRightInd w:val="0"/>
        <w:ind w:left="2160"/>
        <w:jc w:val="center"/>
        <w:outlineLvl w:val="0"/>
      </w:pPr>
      <w:r>
        <w:tab/>
      </w:r>
      <w:r>
        <w:tab/>
        <w:t xml:space="preserve">          </w:t>
      </w:r>
    </w:p>
    <w:p w:rsidR="00085D23" w:rsidRDefault="00B02FF7" w:rsidP="00B02FF7">
      <w:pPr>
        <w:widowControl w:val="0"/>
        <w:autoSpaceDE w:val="0"/>
        <w:autoSpaceDN w:val="0"/>
        <w:adjustRightInd w:val="0"/>
        <w:ind w:left="2160"/>
        <w:jc w:val="center"/>
        <w:outlineLvl w:val="0"/>
      </w:pPr>
      <w:r>
        <w:t xml:space="preserve">                              </w:t>
      </w:r>
    </w:p>
    <w:p w:rsidR="00085D23" w:rsidRDefault="00085D23" w:rsidP="00B02FF7">
      <w:pPr>
        <w:widowControl w:val="0"/>
        <w:autoSpaceDE w:val="0"/>
        <w:autoSpaceDN w:val="0"/>
        <w:adjustRightInd w:val="0"/>
        <w:ind w:left="2160"/>
        <w:jc w:val="center"/>
        <w:outlineLvl w:val="0"/>
      </w:pPr>
    </w:p>
    <w:p w:rsidR="00085D23" w:rsidRDefault="00085D23" w:rsidP="00B02FF7">
      <w:pPr>
        <w:widowControl w:val="0"/>
        <w:autoSpaceDE w:val="0"/>
        <w:autoSpaceDN w:val="0"/>
        <w:adjustRightInd w:val="0"/>
        <w:ind w:left="2160"/>
        <w:jc w:val="center"/>
        <w:outlineLvl w:val="0"/>
      </w:pPr>
    </w:p>
    <w:p w:rsidR="00085D23" w:rsidRDefault="00085D23" w:rsidP="00B02FF7">
      <w:pPr>
        <w:widowControl w:val="0"/>
        <w:autoSpaceDE w:val="0"/>
        <w:autoSpaceDN w:val="0"/>
        <w:adjustRightInd w:val="0"/>
        <w:ind w:left="2160"/>
        <w:jc w:val="center"/>
        <w:outlineLvl w:val="0"/>
      </w:pPr>
    </w:p>
    <w:p w:rsidR="00085D23" w:rsidRDefault="00B02FF7" w:rsidP="00085D23">
      <w:pPr>
        <w:widowControl w:val="0"/>
        <w:autoSpaceDE w:val="0"/>
        <w:autoSpaceDN w:val="0"/>
        <w:adjustRightInd w:val="0"/>
        <w:ind w:firstLine="4820"/>
        <w:outlineLvl w:val="0"/>
      </w:pPr>
      <w:r>
        <w:lastRenderedPageBreak/>
        <w:t xml:space="preserve">Приложение </w:t>
      </w:r>
    </w:p>
    <w:p w:rsidR="00085D23" w:rsidRDefault="00B02FF7" w:rsidP="00085D23">
      <w:pPr>
        <w:widowControl w:val="0"/>
        <w:autoSpaceDE w:val="0"/>
        <w:autoSpaceDN w:val="0"/>
        <w:adjustRightInd w:val="0"/>
        <w:ind w:firstLine="4820"/>
        <w:outlineLvl w:val="0"/>
      </w:pPr>
      <w:r>
        <w:t>к постановлению</w:t>
      </w:r>
      <w:r w:rsidR="00085D23">
        <w:t xml:space="preserve"> </w:t>
      </w:r>
      <w:r>
        <w:t xml:space="preserve">Правительства </w:t>
      </w:r>
    </w:p>
    <w:p w:rsidR="00F93D93" w:rsidRDefault="00B02FF7" w:rsidP="00085D23">
      <w:pPr>
        <w:widowControl w:val="0"/>
        <w:autoSpaceDE w:val="0"/>
        <w:autoSpaceDN w:val="0"/>
        <w:adjustRightInd w:val="0"/>
        <w:ind w:firstLine="4820"/>
        <w:outlineLvl w:val="0"/>
      </w:pPr>
      <w:r>
        <w:t>Республики Карелия</w:t>
      </w:r>
      <w:r w:rsidR="00085D23">
        <w:t xml:space="preserve"> </w:t>
      </w:r>
    </w:p>
    <w:p w:rsidR="00B02FF7" w:rsidRDefault="00B02FF7" w:rsidP="00085D23">
      <w:pPr>
        <w:widowControl w:val="0"/>
        <w:autoSpaceDE w:val="0"/>
        <w:autoSpaceDN w:val="0"/>
        <w:adjustRightInd w:val="0"/>
        <w:ind w:firstLine="4820"/>
        <w:outlineLvl w:val="0"/>
      </w:pPr>
      <w:r>
        <w:t>от</w:t>
      </w:r>
      <w:r w:rsidR="00F93D93">
        <w:t xml:space="preserve"> 10 декабря 2015 года № 405-П</w:t>
      </w:r>
    </w:p>
    <w:p w:rsidR="00B02FF7" w:rsidRDefault="00B02FF7" w:rsidP="00B02FF7">
      <w:pPr>
        <w:widowControl w:val="0"/>
        <w:autoSpaceDE w:val="0"/>
        <w:autoSpaceDN w:val="0"/>
        <w:adjustRightInd w:val="0"/>
        <w:jc w:val="right"/>
      </w:pPr>
    </w:p>
    <w:p w:rsidR="00B02FF7" w:rsidRPr="00F93D93" w:rsidRDefault="00B02FF7" w:rsidP="00B02FF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8"/>
      <w:bookmarkEnd w:id="1"/>
      <w:r w:rsidRPr="00F93D93">
        <w:rPr>
          <w:bCs/>
        </w:rPr>
        <w:t>Распределение на 2016 год субсидий бюджетам</w:t>
      </w:r>
    </w:p>
    <w:p w:rsidR="00B02FF7" w:rsidRPr="00F93D93" w:rsidRDefault="00B02FF7" w:rsidP="00B02F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93D93">
        <w:rPr>
          <w:bCs/>
        </w:rPr>
        <w:t>муниципальных образований на обеспечение мероприятий</w:t>
      </w:r>
    </w:p>
    <w:p w:rsidR="00B02FF7" w:rsidRPr="00F93D93" w:rsidRDefault="00B02FF7" w:rsidP="00B02F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93D93">
        <w:rPr>
          <w:bCs/>
        </w:rPr>
        <w:t>по переселению граждан из аварийного жилищного фонда</w:t>
      </w:r>
    </w:p>
    <w:p w:rsidR="00B02FF7" w:rsidRPr="00F93D93" w:rsidRDefault="00B02FF7" w:rsidP="00B02F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93D93">
        <w:rPr>
          <w:bCs/>
        </w:rPr>
        <w:t xml:space="preserve"> (этап 2015 года Региональной адресной программы по переселению граждан из аварийного жилищного фонда на 2014-2017 годы)</w:t>
      </w:r>
    </w:p>
    <w:p w:rsidR="00B02FF7" w:rsidRDefault="00B02FF7" w:rsidP="00B02FF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02FF7" w:rsidRDefault="00B02FF7" w:rsidP="00085D2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(рублей)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724"/>
        <w:gridCol w:w="2853"/>
        <w:gridCol w:w="1872"/>
        <w:gridCol w:w="2225"/>
        <w:gridCol w:w="1804"/>
      </w:tblGrid>
      <w:tr w:rsidR="00085D23" w:rsidRPr="00B02FF7" w:rsidTr="00085D23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23" w:rsidRPr="00B02FF7" w:rsidRDefault="00085D23" w:rsidP="00085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D23" w:rsidRPr="00B02FF7" w:rsidRDefault="00085D23" w:rsidP="00085D23">
            <w:pPr>
              <w:jc w:val="center"/>
              <w:rPr>
                <w:sz w:val="26"/>
                <w:szCs w:val="26"/>
              </w:rPr>
            </w:pPr>
            <w:r w:rsidRPr="00B02FF7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23" w:rsidRPr="00B02FF7" w:rsidRDefault="00085D23" w:rsidP="00085D23">
            <w:pPr>
              <w:jc w:val="center"/>
              <w:rPr>
                <w:sz w:val="26"/>
                <w:szCs w:val="26"/>
              </w:rPr>
            </w:pPr>
            <w:r w:rsidRPr="00B02FF7">
              <w:rPr>
                <w:sz w:val="26"/>
                <w:szCs w:val="26"/>
              </w:rPr>
              <w:t>Сумма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23" w:rsidRPr="00B02FF7" w:rsidRDefault="00085D23" w:rsidP="00085D23">
            <w:pPr>
              <w:jc w:val="center"/>
              <w:rPr>
                <w:sz w:val="26"/>
                <w:szCs w:val="26"/>
              </w:rPr>
            </w:pPr>
            <w:r w:rsidRPr="00B02FF7">
              <w:rPr>
                <w:sz w:val="26"/>
                <w:szCs w:val="26"/>
              </w:rPr>
              <w:t>В том числе</w:t>
            </w:r>
          </w:p>
        </w:tc>
      </w:tr>
      <w:tr w:rsidR="00085D23" w:rsidRPr="00B02FF7" w:rsidTr="00085D23">
        <w:trPr>
          <w:trHeight w:val="2326"/>
        </w:trPr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D23" w:rsidRPr="00B02FF7" w:rsidRDefault="00085D23" w:rsidP="00085D2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D23" w:rsidRPr="00B02FF7" w:rsidRDefault="00085D2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3" w:rsidRPr="00B02FF7" w:rsidRDefault="00085D2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23" w:rsidRPr="00B02FF7" w:rsidRDefault="00085D23" w:rsidP="00085D23">
            <w:pPr>
              <w:jc w:val="center"/>
              <w:rPr>
                <w:sz w:val="26"/>
                <w:szCs w:val="26"/>
              </w:rPr>
            </w:pPr>
            <w:r w:rsidRPr="00B02FF7">
              <w:rPr>
                <w:sz w:val="26"/>
                <w:szCs w:val="26"/>
              </w:rPr>
              <w:t xml:space="preserve">безвозмездные поступления от </w:t>
            </w:r>
            <w:r>
              <w:rPr>
                <w:sz w:val="26"/>
                <w:szCs w:val="26"/>
              </w:rPr>
              <w:t xml:space="preserve">государственной корпорации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B02FF7">
              <w:rPr>
                <w:sz w:val="26"/>
                <w:szCs w:val="26"/>
              </w:rPr>
              <w:t>Ф</w:t>
            </w:r>
            <w:proofErr w:type="gramEnd"/>
            <w:r w:rsidRPr="00B02FF7">
              <w:rPr>
                <w:sz w:val="26"/>
                <w:szCs w:val="26"/>
              </w:rPr>
              <w:t xml:space="preserve">онда </w:t>
            </w:r>
            <w:proofErr w:type="spellStart"/>
            <w:r w:rsidRPr="00B02FF7">
              <w:rPr>
                <w:sz w:val="26"/>
                <w:szCs w:val="26"/>
              </w:rPr>
              <w:t>содейст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02FF7">
              <w:rPr>
                <w:sz w:val="26"/>
                <w:szCs w:val="26"/>
              </w:rPr>
              <w:t xml:space="preserve">вия </w:t>
            </w:r>
            <w:proofErr w:type="spellStart"/>
            <w:r w:rsidRPr="00B02FF7">
              <w:rPr>
                <w:sz w:val="26"/>
                <w:szCs w:val="26"/>
              </w:rPr>
              <w:t>реформиро</w:t>
            </w:r>
            <w:r>
              <w:rPr>
                <w:sz w:val="26"/>
                <w:szCs w:val="26"/>
              </w:rPr>
              <w:t>-</w:t>
            </w:r>
            <w:r w:rsidRPr="00B02FF7">
              <w:rPr>
                <w:sz w:val="26"/>
                <w:szCs w:val="26"/>
              </w:rPr>
              <w:t>ванию</w:t>
            </w:r>
            <w:proofErr w:type="spellEnd"/>
            <w:r w:rsidRPr="00B02FF7">
              <w:rPr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23" w:rsidRPr="00B02FF7" w:rsidRDefault="00085D23" w:rsidP="00085D23">
            <w:pPr>
              <w:jc w:val="center"/>
              <w:rPr>
                <w:sz w:val="26"/>
                <w:szCs w:val="26"/>
              </w:rPr>
            </w:pPr>
            <w:r w:rsidRPr="00B02FF7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1.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proofErr w:type="spellStart"/>
            <w:r w:rsidRPr="00F93D93">
              <w:rPr>
                <w:sz w:val="26"/>
                <w:szCs w:val="26"/>
              </w:rPr>
              <w:t>Олонецкий</w:t>
            </w:r>
            <w:proofErr w:type="spellEnd"/>
            <w:r w:rsidRPr="00F93D9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93D93">
              <w:rPr>
                <w:sz w:val="26"/>
                <w:szCs w:val="26"/>
              </w:rPr>
              <w:t>муници-пальный</w:t>
            </w:r>
            <w:proofErr w:type="spellEnd"/>
            <w:proofErr w:type="gramEnd"/>
            <w:r w:rsidRPr="00F93D93">
              <w:rPr>
                <w:sz w:val="26"/>
                <w:szCs w:val="26"/>
              </w:rPr>
              <w:t xml:space="preserve"> район,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F9309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3 089 339, 27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F9309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1 725 343, 93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F9309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1 363 995,34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в том числе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ED65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ED65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ED65EE">
            <w:pPr>
              <w:jc w:val="center"/>
              <w:rPr>
                <w:sz w:val="26"/>
                <w:szCs w:val="26"/>
              </w:rPr>
            </w:pP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proofErr w:type="spellStart"/>
            <w:r w:rsidRPr="00F93D93">
              <w:rPr>
                <w:sz w:val="26"/>
                <w:szCs w:val="26"/>
              </w:rPr>
              <w:t>Мегрегское</w:t>
            </w:r>
            <w:proofErr w:type="spellEnd"/>
            <w:r w:rsidRPr="00F93D93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3 089 339, 27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1 725 343,93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1 363 995,34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F93D93">
            <w:pPr>
              <w:rPr>
                <w:sz w:val="26"/>
                <w:szCs w:val="26"/>
              </w:rPr>
            </w:pPr>
            <w:proofErr w:type="spellStart"/>
            <w:r w:rsidRPr="00F93D93">
              <w:rPr>
                <w:sz w:val="26"/>
                <w:szCs w:val="26"/>
              </w:rPr>
              <w:t>Пряжинский</w:t>
            </w:r>
            <w:proofErr w:type="spellEnd"/>
            <w:r w:rsidRPr="00F93D93">
              <w:rPr>
                <w:sz w:val="26"/>
                <w:szCs w:val="26"/>
              </w:rPr>
              <w:t xml:space="preserve"> национальный муниципальный район,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22 202 283,85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12 438 220,92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9 764 062,93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в том числе</w:t>
            </w:r>
            <w:r w:rsidRPr="00F93D93">
              <w:rPr>
                <w:sz w:val="26"/>
                <w:szCs w:val="26"/>
              </w:rPr>
              <w:t xml:space="preserve"> </w:t>
            </w:r>
            <w:proofErr w:type="spellStart"/>
            <w:r w:rsidRPr="00F93D93">
              <w:rPr>
                <w:sz w:val="26"/>
                <w:szCs w:val="26"/>
              </w:rPr>
              <w:t>Эссойльское</w:t>
            </w:r>
            <w:proofErr w:type="spellEnd"/>
            <w:r w:rsidRPr="00F93D93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19 295 645,03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10 776 292,67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8 519 352,36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proofErr w:type="spellStart"/>
            <w:r w:rsidRPr="00F93D93">
              <w:rPr>
                <w:sz w:val="26"/>
                <w:szCs w:val="26"/>
              </w:rPr>
              <w:t>Чалнинское</w:t>
            </w:r>
            <w:proofErr w:type="spellEnd"/>
            <w:r w:rsidRPr="00F93D93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2 906 638,82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1 661 928,25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1 244 710,57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proofErr w:type="spellStart"/>
            <w:r w:rsidRPr="00F93D93">
              <w:rPr>
                <w:sz w:val="26"/>
                <w:szCs w:val="26"/>
              </w:rPr>
              <w:t>Пудожский</w:t>
            </w:r>
            <w:proofErr w:type="spellEnd"/>
            <w:r w:rsidRPr="00F93D9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93D93">
              <w:rPr>
                <w:sz w:val="26"/>
                <w:szCs w:val="26"/>
              </w:rPr>
              <w:t>муници-пальный</w:t>
            </w:r>
            <w:proofErr w:type="spellEnd"/>
            <w:proofErr w:type="gramEnd"/>
            <w:r w:rsidRPr="00F93D93">
              <w:rPr>
                <w:sz w:val="26"/>
                <w:szCs w:val="26"/>
              </w:rPr>
              <w:t xml:space="preserve"> район,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D0F4A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1 577 951,49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D0F4A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881 259,32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D0F4A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696 692,17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в том числе</w:t>
            </w:r>
          </w:p>
        </w:tc>
        <w:tc>
          <w:tcPr>
            <w:tcW w:w="18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8754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8754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875426">
            <w:pPr>
              <w:jc w:val="center"/>
              <w:rPr>
                <w:sz w:val="26"/>
                <w:szCs w:val="26"/>
              </w:rPr>
            </w:pP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Авдеевское сельское поселение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1 577 951,49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881 259,32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696 692,17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proofErr w:type="spellStart"/>
            <w:r w:rsidRPr="00F93D93">
              <w:rPr>
                <w:sz w:val="26"/>
                <w:szCs w:val="26"/>
              </w:rPr>
              <w:t>Суоярвский</w:t>
            </w:r>
            <w:proofErr w:type="spellEnd"/>
            <w:r w:rsidRPr="00F93D9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93D93">
              <w:rPr>
                <w:sz w:val="26"/>
                <w:szCs w:val="26"/>
              </w:rPr>
              <w:t>муници-пальный</w:t>
            </w:r>
            <w:proofErr w:type="spellEnd"/>
            <w:proofErr w:type="gramEnd"/>
            <w:r w:rsidRPr="00F93D93">
              <w:rPr>
                <w:sz w:val="26"/>
                <w:szCs w:val="26"/>
              </w:rPr>
              <w:t xml:space="preserve"> район,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7 737 052,47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4 321 013,46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3 416 039,01</w:t>
            </w:r>
          </w:p>
        </w:tc>
      </w:tr>
      <w:tr w:rsidR="00F93D93" w:rsidRPr="00F93D93" w:rsidTr="00085D23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в том числе</w:t>
            </w:r>
            <w:r w:rsidRPr="00F93D93">
              <w:rPr>
                <w:sz w:val="26"/>
                <w:szCs w:val="26"/>
              </w:rPr>
              <w:t xml:space="preserve"> </w:t>
            </w:r>
            <w:proofErr w:type="spellStart"/>
            <w:r w:rsidRPr="00F93D93">
              <w:rPr>
                <w:sz w:val="26"/>
                <w:szCs w:val="26"/>
              </w:rPr>
              <w:t>Лоймольское</w:t>
            </w:r>
            <w:proofErr w:type="spellEnd"/>
            <w:r w:rsidRPr="00F93D93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4 604 642,56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2 571 615,30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2 033 027,26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proofErr w:type="spellStart"/>
            <w:r w:rsidRPr="00F93D93">
              <w:rPr>
                <w:sz w:val="26"/>
                <w:szCs w:val="26"/>
              </w:rPr>
              <w:t>Поросозерское</w:t>
            </w:r>
            <w:proofErr w:type="spellEnd"/>
            <w:r w:rsidRPr="00F93D93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3 132 409,91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1 749 398,16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1 383 011,75</w:t>
            </w:r>
          </w:p>
        </w:tc>
      </w:tr>
      <w:tr w:rsidR="00F93D93" w:rsidRPr="00F93D93" w:rsidTr="00085D2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3" w:rsidRPr="00F93D93" w:rsidRDefault="00F93D93" w:rsidP="00085D23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5.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Итого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34 606 627,08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19 365 837,63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D93" w:rsidRPr="00F93D93" w:rsidRDefault="00F93D93" w:rsidP="00B02FF7">
            <w:pPr>
              <w:jc w:val="center"/>
              <w:rPr>
                <w:sz w:val="26"/>
                <w:szCs w:val="26"/>
              </w:rPr>
            </w:pPr>
            <w:r w:rsidRPr="00F93D93">
              <w:rPr>
                <w:sz w:val="26"/>
                <w:szCs w:val="26"/>
              </w:rPr>
              <w:t>15 240 789,45</w:t>
            </w:r>
          </w:p>
        </w:tc>
      </w:tr>
    </w:tbl>
    <w:p w:rsidR="00B02FF7" w:rsidRPr="00F93D93" w:rsidRDefault="00085D23" w:rsidP="00085D23">
      <w:pPr>
        <w:autoSpaceDE w:val="0"/>
        <w:autoSpaceDN w:val="0"/>
        <w:adjustRightInd w:val="0"/>
        <w:jc w:val="center"/>
        <w:rPr>
          <w:szCs w:val="28"/>
        </w:rPr>
      </w:pPr>
      <w:r w:rsidRPr="00F93D93">
        <w:rPr>
          <w:szCs w:val="28"/>
        </w:rPr>
        <w:t>____________</w:t>
      </w:r>
    </w:p>
    <w:sectPr w:rsidR="00B02FF7" w:rsidRPr="00F93D93" w:rsidSect="00B02FF7">
      <w:headerReference w:type="first" r:id="rId10"/>
      <w:pgSz w:w="11907" w:h="16840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F7" w:rsidRDefault="00B02FF7" w:rsidP="00CE0D98">
      <w:r>
        <w:separator/>
      </w:r>
    </w:p>
  </w:endnote>
  <w:endnote w:type="continuationSeparator" w:id="0">
    <w:p w:rsidR="00B02FF7" w:rsidRDefault="00B02FF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F7" w:rsidRDefault="00B02FF7" w:rsidP="00CE0D98">
      <w:r>
        <w:separator/>
      </w:r>
    </w:p>
  </w:footnote>
  <w:footnote w:type="continuationSeparator" w:id="0">
    <w:p w:rsidR="00B02FF7" w:rsidRDefault="00B02FF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7" w:rsidRDefault="00B02FF7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5D23"/>
    <w:rsid w:val="000C4274"/>
    <w:rsid w:val="000D32E1"/>
    <w:rsid w:val="000D5AD5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76FD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02FF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D93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5FF6-DB36-40BE-98A6-DE8F4B92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2015-12-11T11:20:00Z</cp:lastPrinted>
  <dcterms:created xsi:type="dcterms:W3CDTF">2015-12-10T14:51:00Z</dcterms:created>
  <dcterms:modified xsi:type="dcterms:W3CDTF">2015-12-11T11:20:00Z</dcterms:modified>
</cp:coreProperties>
</file>