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9A6B8C" w:rsidP="00EA3CF6">
      <w:pPr>
        <w:tabs>
          <w:tab w:val="left" w:pos="8931"/>
        </w:tabs>
        <w:ind w:right="424"/>
        <w:jc w:val="center"/>
        <w:rPr>
          <w:sz w:val="16"/>
        </w:rPr>
      </w:pPr>
      <w:r w:rsidRPr="009A6B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4B1C12" w:rsidRDefault="004B1C12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C7EF4">
        <w:t>31 декабря 2015 года № 840р-П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B1C12" w:rsidRDefault="004B1C12" w:rsidP="004B1C12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B1C1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Республики Карелия от 24 декабря 2015 года № 1968-ЗРК «О бюджете Республики Карелия на 2016 год»: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исполнению бюджет Республики Карелия на 2016 год.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Учесть, что в 2016 году дотация из федерального бюджета на частичную компенсацию дополнительных расходов на повышение оплаты труда работников бюджетной сферы в сумме 178 219,3 тыс. рублей является источником финансового обеспечения расходных обязательств, связанных с сохранением достигнутого уровня оплаты труда отдельных категорий работников бюджетной сферы, определенных указами Президента Российской Федерации от 7 мая 2012 года № 597 «О мероприятиях по реализации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государственной социальной политики» и № 599 «О мерах по реализации государственной политики в области образования и науки»,</w:t>
      </w:r>
      <w:r w:rsidR="002144B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от 1 июня 2012 года </w:t>
      </w:r>
      <w:r w:rsidR="002144B8">
        <w:rPr>
          <w:sz w:val="28"/>
          <w:szCs w:val="28"/>
        </w:rPr>
        <w:t xml:space="preserve">№ 761 </w:t>
      </w:r>
      <w:r>
        <w:rPr>
          <w:sz w:val="28"/>
          <w:szCs w:val="28"/>
        </w:rPr>
        <w:t>«О Национальной стратегии действий в интересах детей на 2012-2017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родителей».</w:t>
      </w:r>
      <w:proofErr w:type="gramEnd"/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Главным администраторам доходов бюджета Республики Карелия: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обеспечить прогнозируемые поступления доходов в бюджет Республики Карелия на 2016 год согласно </w:t>
      </w:r>
      <w:r w:rsidRPr="004B1C12">
        <w:rPr>
          <w:sz w:val="28"/>
          <w:szCs w:val="28"/>
        </w:rPr>
        <w:t>приложению 1</w:t>
      </w:r>
      <w:r>
        <w:rPr>
          <w:sz w:val="28"/>
          <w:szCs w:val="28"/>
        </w:rPr>
        <w:t xml:space="preserve"> к настоящему распоряжению;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 наличии причин (факторов), обуславливающих изменение прогнозируемых показателей по администрируемым источникам доходов более чем на 10 процентов, представлять в Министерство финансов Республики Карелия предложения по их уточнению с пояснениями.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Главным распорядителям средств бюджета Республики Карелия обеспечить: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1) в срок до 1 марта 2016 года подготовку и принятие правовых актов Республики Карелия, необходимых для реализации Закона Республики Карелия от 24 декабря 2015 года № 1968-ЗРК «О бюджете Республики Карелия на 2016 год» (далее </w:t>
      </w:r>
      <w:r w:rsidR="002144B8">
        <w:rPr>
          <w:sz w:val="28"/>
          <w:szCs w:val="28"/>
        </w:rPr>
        <w:t>–</w:t>
      </w:r>
      <w:r>
        <w:rPr>
          <w:sz w:val="28"/>
          <w:szCs w:val="28"/>
        </w:rPr>
        <w:t xml:space="preserve"> Закон), в том числе о распределении субсидий бюджетам муниципальных образований на 2016 год (за исключением субсидии на компенсацию части затрат на уплату процентов по кредитам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полученным</w:t>
      </w:r>
      <w:proofErr w:type="gramEnd"/>
      <w:r>
        <w:rPr>
          <w:sz w:val="28"/>
          <w:szCs w:val="28"/>
        </w:rPr>
        <w:t xml:space="preserve"> муниципальными образованиями в российских кредитных организациях);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ежеквартально – представление в Министерство финансов Республики Карелия информации о заключенных договорах страхования гражданской ответственности владельцев транспортных средств и имущества, находящегося в собственности Республики Карелия, в сроки, установленные для представления бюджетной отчетности;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взаимодействие с уполномоченными федеральными органами исполнительной власти при разработке </w:t>
      </w:r>
      <w:proofErr w:type="gramStart"/>
      <w:r>
        <w:rPr>
          <w:sz w:val="28"/>
          <w:szCs w:val="28"/>
        </w:rPr>
        <w:t>значений целевых показателей эффективности деятельности органов исполнительной власти Республики</w:t>
      </w:r>
      <w:proofErr w:type="gramEnd"/>
      <w:r>
        <w:rPr>
          <w:sz w:val="28"/>
          <w:szCs w:val="28"/>
        </w:rPr>
        <w:t xml:space="preserve"> Карелия по осуществлению переданных им полномочий Российской Федерации, на исполнение которых предусмотрены субвенции, в том числе формирующие единую субвенцию (далее – значения целевых показателей);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представление в уполномоченные федеральные органы исполнительной власти отчетов, содержащих сведения о фактически достигнутых ими значениях целевых показателей и утвержденных значениях целевых показателей, по формам и в сроки, установленные уполномоченными федеральными органами исполнительной власти;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возврат в федеральный бюджет не использованных по состоянию </w:t>
      </w:r>
      <w:r w:rsidR="002144B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на 1 января 2016 года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в течение первых 15 рабочих дней 2016 года;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перечислением межбюджетных трансфертов, имеющих целевое назначение, местным бюджетам из бюджета Республики Карелия: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виде субвенций – в пределах утвержденных показателей сводной бюджетной росписи, лимитов бюджетных обязательств, с учетом представленных органами местного самоуправления  муниципальных образований в Республике Карелия (далее – органы местного самоуправления) отчетов о выполнении показателей фактического исполнения соответствующих полномочий и расходовании субвенций;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виде субсидий и иных межбюджетных трансфертов – при условии предоставления органами местного самоуправления заявок на основании документов, подтверждающих возникновение денежных обязательств (в том числе при осуществлении закупок товаров, работ, услуг для исполнения расходных обязательств муниципального образования);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возвратом в доход бюджета Республики Карелия не использованных по состоянию на 1 января 2016 года межбюджетных </w:t>
      </w:r>
      <w:r>
        <w:rPr>
          <w:sz w:val="28"/>
          <w:szCs w:val="28"/>
        </w:rPr>
        <w:lastRenderedPageBreak/>
        <w:t>трансфертов, предоставленных из бюджета Республики Карелия местным бюджетам в форме субсидий, субвенций и иных межбюджетных трансфертов, имеющих целевое назначение, в течение первых 15 рабочих дней 2016 года;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принятие решения о наличии (об отсутствии) потребности в межбюджетных трансфертах в форме субсидий и иных межбюджетных трансфертов, имеющих целевое назначение, не использованных по состоянию на 1 января 2016 года, и возврат межбюджетных трансфертов, потребность в которых подтверждена, в местные бюджеты, которым они ранее были предоставлены, в установленном порядке;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оформление уведомлений по расчетам между бюджетами на сумму утвержденных бюджетной росписью главного администратора межбюджетного трансферта бюджетных ассигнований на предоставление межбюджетного трансферта в форме дотации, субсидии, субвенции или иного межбюджетного трансферта, подлежащего передаче бюджетам муниципальных образований, а также на суммы изменений в утвержденный объем бюджетных ассигнований по предоставлению межбюджетного трансферта, и их доведение до администратора доходов бюджета муниципального образования от</w:t>
      </w:r>
      <w:proofErr w:type="gramEnd"/>
      <w:r>
        <w:rPr>
          <w:sz w:val="28"/>
          <w:szCs w:val="28"/>
        </w:rPr>
        <w:t xml:space="preserve"> предоставления межбюджетного трансферта в электронном виде и на бумажном носителе в 10-дневный срок после принятия соответствующего правового акта Республики Карелия о распределении указанных средств;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осуществление в срок до 1 марта 2016 года анализа выполнения органами местного самоуправления показателей результативности предоставления субсидий и в случае, если органами местного самоуправления по состоянию на 31 декабря 2015 года не обеспечено достижение целевых показателей результативности предоставления субсидий, предусмотренных соглашениями, доведение до органов местного самоуправления уведомлений о невыполнении условий предоставления и расходования субсидий и о суммах, подлежащих возврату</w:t>
      </w:r>
      <w:proofErr w:type="gramEnd"/>
      <w:r>
        <w:rPr>
          <w:sz w:val="28"/>
          <w:szCs w:val="28"/>
        </w:rPr>
        <w:t xml:space="preserve"> из местного бюджета в бюджет Республики Карелия, </w:t>
      </w:r>
      <w:proofErr w:type="gramStart"/>
      <w:r>
        <w:rPr>
          <w:sz w:val="28"/>
          <w:szCs w:val="28"/>
        </w:rPr>
        <w:t>рассчитанных</w:t>
      </w:r>
      <w:proofErr w:type="gramEnd"/>
      <w:r>
        <w:rPr>
          <w:sz w:val="28"/>
          <w:szCs w:val="28"/>
        </w:rPr>
        <w:t xml:space="preserve"> в установленном порядке.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Главным распорядителям средств бюджета Республики Карелия </w:t>
      </w:r>
      <w:r w:rsidR="002144B8">
        <w:rPr>
          <w:sz w:val="28"/>
          <w:szCs w:val="28"/>
        </w:rPr>
        <w:t>–</w:t>
      </w:r>
      <w:r>
        <w:rPr>
          <w:sz w:val="28"/>
          <w:szCs w:val="28"/>
        </w:rPr>
        <w:t xml:space="preserve"> ответственным исполнителям государственных программ Республики Карелия (далее – государственные программы):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приведение государственных программ в соответствие с Законом в сроки, установленные Бюджетным кодексом Российской Федерации;</w:t>
      </w:r>
    </w:p>
    <w:p w:rsidR="004B1C12" w:rsidRDefault="004B1C12" w:rsidP="004B1C12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обеспечить совместно с соисполнителями и участниками государственных программ актуализацию государственных программ и представление отчетности в автоматизированной системе планирования и анализа исполнения бюджета Республики Карелия в соответствии с требованиями Порядка разработки, реализации и оценки эффективности государственных программ Республики Карелия, утвержденного постановлением Правительства Республики Карелия от 28 декабря 2012 года </w:t>
      </w:r>
      <w:r>
        <w:rPr>
          <w:sz w:val="28"/>
          <w:szCs w:val="28"/>
        </w:rPr>
        <w:lastRenderedPageBreak/>
        <w:t>№ 416-П «Об утверждении Порядка разработки, реализации и оценки эффективности государственных программ</w:t>
      </w:r>
      <w:proofErr w:type="gramEnd"/>
      <w:r>
        <w:rPr>
          <w:sz w:val="28"/>
          <w:szCs w:val="28"/>
        </w:rPr>
        <w:t xml:space="preserve"> Республики Карелия»;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учитывать предложения Комиссии по оценке </w:t>
      </w:r>
      <w:proofErr w:type="gramStart"/>
      <w:r>
        <w:rPr>
          <w:sz w:val="28"/>
          <w:szCs w:val="28"/>
        </w:rPr>
        <w:t>результативности деятельности органов исполнительной власти Республики</w:t>
      </w:r>
      <w:proofErr w:type="gramEnd"/>
      <w:r>
        <w:rPr>
          <w:sz w:val="28"/>
          <w:szCs w:val="28"/>
        </w:rPr>
        <w:t xml:space="preserve"> Карелия и органов местного самоуправления муниципальных образований в Республике Карелия по результатам рассмотрения сводного годового доклада о ходе реализации и оценке эффективности государственных программ.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 Органам исполнительной власти Республики Карелия, осуществляющим функции и полномочия учредителей государственных учреждений Республики Карелия, обеспечить: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доведение государственных заданий на оказание государственных услуг государственным бюджетным и автономным учреждениям Республики Карелия, мониторинг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выполнением;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предоставление субсидий государственным бюджетным и автономным учреждениям Республики Карелия на финансовое обеспечение выполнения государственного задания на оказание государственных услуг (выполнение работ) в соответствии с соглашением о предоставлении субсидии, ежемесячно равными долями с учетом отраслевых особенностей;</w:t>
      </w:r>
    </w:p>
    <w:p w:rsidR="004B1C12" w:rsidRDefault="004B1C12" w:rsidP="004B1C12">
      <w:pPr>
        <w:pStyle w:val="ConsPlusNormal"/>
        <w:ind w:firstLine="540"/>
        <w:jc w:val="both"/>
        <w:rPr>
          <w:sz w:val="22"/>
          <w:highlight w:val="yellow"/>
        </w:rPr>
      </w:pPr>
      <w:r>
        <w:rPr>
          <w:sz w:val="28"/>
          <w:szCs w:val="28"/>
        </w:rPr>
        <w:t xml:space="preserve">3) утверждение до 31 декабря 2015 года планов финансово-хозяйственной деятельности государственных бюджетных учреждений Республики Карелия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утверждением планов финансово-хозяйственной деятельности автономных учреждений Республики Карелия;</w:t>
      </w:r>
      <w:r>
        <w:rPr>
          <w:highlight w:val="yellow"/>
        </w:rPr>
        <w:t xml:space="preserve"> 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принятых бюджетными и автономными учреждениями Республики Карелия расходных обязательств показателям, предусмотренным в планах их финансово-хозяйственной деятельности;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проведение мониторинга сохранения в 2016 году достигнутого уровня средней заработной платы работников государственных и муниципальных учреждений.</w:t>
      </w:r>
    </w:p>
    <w:p w:rsidR="004B1C12" w:rsidRDefault="004B1C12" w:rsidP="004B1C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Получателям средств бюджета Республики Карелия:</w:t>
      </w:r>
    </w:p>
    <w:p w:rsidR="004B1C12" w:rsidRDefault="004B1C12" w:rsidP="004B1C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обеспечить заключение и оплату договоров (государственных контрактов) поставки товаров, выполнения работ, оказания услуг, финансовое обеспечение которых осуществляется за счет средств бюджета Республики Карелия, в пределах утвержденных лимитов бюджетных обязательств на 2016 год в соответствии с классификацией расходов бюджета, в том числе в приоритетном порядке оплату коммунальных услуг; </w:t>
      </w:r>
    </w:p>
    <w:p w:rsidR="004B1C12" w:rsidRDefault="004B1C12" w:rsidP="004B1C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заключении договоров (государственных контрактов) поставки товаров, выполнения работ, оказания услуг разрешить предусматривать авансовые платежи:</w:t>
      </w:r>
    </w:p>
    <w:p w:rsidR="004B1C12" w:rsidRDefault="004B1C12" w:rsidP="004B1C1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с последующей оплатой денежных обязательств, возникающих по договорам (государственным контрактам) поставки товаров, выполнения работ, оказания услуг, после подтверждения выполнения (оказания) предусмотренных данными договорами (государственными контрактами) работ (услуг) в объеме произведенных платежей:</w:t>
      </w:r>
      <w:proofErr w:type="gramEnd"/>
    </w:p>
    <w:p w:rsidR="004B1C12" w:rsidRDefault="004B1C12" w:rsidP="004B1C1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размере до 100 процентов суммы договора (государственного контракта), но не более доведенных лимитов бюджетных обязательств по </w:t>
      </w:r>
      <w:r>
        <w:rPr>
          <w:sz w:val="28"/>
          <w:szCs w:val="28"/>
        </w:rPr>
        <w:lastRenderedPageBreak/>
        <w:t>соответствующему коду классификации расходов бюджетов – по договорам (государственным контрактам) об оказании услуг связи, о подписке на печатные издания и об их приобретении, об обучении на курсах повышения квалификации, факультетах подготовки и переподготовки специалистов (со сроком обучения до полутора лет), участии в семинарах, конференциях</w:t>
      </w:r>
      <w:proofErr w:type="gramEnd"/>
      <w:r>
        <w:rPr>
          <w:sz w:val="28"/>
          <w:szCs w:val="28"/>
        </w:rPr>
        <w:t xml:space="preserve"> и других мероприятиях аналогичного характера, о приобретении ави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 и оздоровление детей, об организации питания детей при следовании в оздоровительные лагеря, о проведении государственной экспертизы проектной документации и результатов инженерных изысканий, на приобретение зданий и помещений для реализации образовательных программ дошкольного образования, в том числе с возможностью </w:t>
      </w:r>
      <w:proofErr w:type="gramStart"/>
      <w:r>
        <w:rPr>
          <w:sz w:val="28"/>
          <w:szCs w:val="28"/>
        </w:rPr>
        <w:t>использования для реализации программ общего образования, на реализацию мероприятий ведомственной целевой программы «Адресная социальная помощь», об оказании высокотехнологичных (дорогостоящих) видов медицинской помощи гражданам Российской Федерации, об оказании услуг, связанных с участием физических лиц в мероприятиях общереспубликанского значения и мероприятиях программ, услуг, связанных с проведением новогодних и рождественских мероприятий общереспубликанского значения, по договорам (государственным контрактам), связанным с организацией выставочно-ярмарочной деятельности в</w:t>
      </w:r>
      <w:proofErr w:type="gramEnd"/>
      <w:r>
        <w:rPr>
          <w:sz w:val="28"/>
          <w:szCs w:val="28"/>
        </w:rPr>
        <w:t xml:space="preserve"> Республике Карелия, страхования жизни, здоровья, имущества и гражданской ответственности владельцев транспортных средств, хранения сертификатов ценных бумаг и учета прав на ценные бумаги, поддержания ценных бумаг в котировальном списке;</w:t>
      </w:r>
    </w:p>
    <w:p w:rsidR="004B1C12" w:rsidRDefault="004B1C12" w:rsidP="004B1C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размере до 30 процентов суммы договора (государственного контракта), но не более 30 процентов доведенных лимитов бюджетных обязательств по соответствующему коду классификации расходов бюджетов – по остальным договорам (государственным контрактам), если иное не предусмотрено законодательством Российской Федерации и законодательством Республики Карелия;</w:t>
      </w:r>
    </w:p>
    <w:p w:rsidR="004B1C12" w:rsidRDefault="004B1C12" w:rsidP="004B1C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по договорам (государственным контрактам) выполнения работ по строительству, реконструкции и капитальному ремонту объектов капитального строительства государственной собственности Республики Карелия:</w:t>
      </w:r>
    </w:p>
    <w:p w:rsidR="004B1C12" w:rsidRDefault="004B1C12" w:rsidP="004B1C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сумму, не превышающую 300 млн. рублей, – в размере до 30 процентов суммы договора (государственного контракта), но не более 30 процентов доведенных лимитов бюджетных обязательств по соответствующему коду классификации расходов бюджетов; </w:t>
      </w:r>
    </w:p>
    <w:p w:rsidR="004B1C12" w:rsidRDefault="004B1C12" w:rsidP="004B1C1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сумму, превышающую 300 млн. рублей, – в размере до 30 процентов суммы договора (государственного контракта), но не более доведенных лимитов бюджетных обязательств по соответствующему коду классификации расходов бюджетов, с последующим авансированием выполняемых работ после подтверждения выполнения предусмотренных договором (государственным контрактом) работ в объеме произведенного </w:t>
      </w:r>
      <w:r>
        <w:rPr>
          <w:sz w:val="28"/>
          <w:szCs w:val="28"/>
        </w:rPr>
        <w:lastRenderedPageBreak/>
        <w:t>авансового платежа (с ограничением общей суммы авансирования не более 70 процентов суммы договора (государственного контракта);</w:t>
      </w:r>
      <w:proofErr w:type="gramEnd"/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разрешить использовать средства бюджета Республики Карелия, предусмотренные на 2016 год, на погашение санкционированной кредиторской задолженности по обязательствам прошлых лет, подлежащим оплате за счет средств бюджета Республики Карелия, в пределах утвержденных лимитов бюджетных обязательств;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не допускать при определении порядка расчетов по договорам, финансовое обеспечение которых осуществляется за счет средств бюджета Республики Карелия, платежей в пользу третьих лиц, не являющихся сторонами соответствующих бюджетных обязательств;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обеспечить страхование гражданской ответственности владельцев транспортных средств и имущества, находящегося в собственности Республики Карелия, в пределах утвержденных лимитов бюджетных обязательств на 2016 год.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Министерству экономического развития Республики Карелия обеспечить представление в Министерство финансов Республики Карелия сводной информации: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ежеквартально до 25</w:t>
      </w:r>
      <w:r w:rsidR="002144B8">
        <w:rPr>
          <w:sz w:val="28"/>
          <w:szCs w:val="28"/>
        </w:rPr>
        <w:t>-го</w:t>
      </w:r>
      <w:r>
        <w:rPr>
          <w:sz w:val="28"/>
          <w:szCs w:val="28"/>
        </w:rPr>
        <w:t xml:space="preserve"> числа месяца, следующего за отчетным периодом, об участии Республики Карелия в федеральных целевых программах и в федеральной адресной инвестиционной программе;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совместно с Министерством строительства, жилищно-коммунального хозяйства и энергетики Республики Карелия раз в полугодие до 25</w:t>
      </w:r>
      <w:r w:rsidR="002144B8">
        <w:rPr>
          <w:sz w:val="28"/>
          <w:szCs w:val="28"/>
        </w:rPr>
        <w:t>-го</w:t>
      </w:r>
      <w:r>
        <w:rPr>
          <w:sz w:val="28"/>
          <w:szCs w:val="28"/>
        </w:rPr>
        <w:t xml:space="preserve"> числа месяца</w:t>
      </w:r>
      <w:r w:rsidR="002144B8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следующего за отчетным периодом, о расходах на реализацию проектов и программ в рамках комплексных инвестиционных планов модернизации </w:t>
      </w:r>
      <w:proofErr w:type="spellStart"/>
      <w:r>
        <w:rPr>
          <w:sz w:val="28"/>
          <w:szCs w:val="28"/>
        </w:rPr>
        <w:t>монопрофильных</w:t>
      </w:r>
      <w:proofErr w:type="spellEnd"/>
      <w:r>
        <w:rPr>
          <w:sz w:val="28"/>
          <w:szCs w:val="28"/>
        </w:rPr>
        <w:t xml:space="preserve"> муниципальных образований.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Министерству финансов Республики Карелия: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срок до 1 апреля 2016 года обеспечить проведение мониторинга соблюдения органами местного самоуправления муниципальных районов (городских округов) в Республике Карелия (далее – муниципальный район (городской округ) требований и ограничений, установленных Бюджетным </w:t>
      </w:r>
      <w:r w:rsidRPr="004B1C12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Российской Федерации: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решениях о бюджетах муниципальных районов (городских округов) на 2016 год;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отчетах об исполнении бюджетов муниципальных районов  (городских округов</w:t>
      </w:r>
      <w:r w:rsidR="002F4412">
        <w:rPr>
          <w:sz w:val="28"/>
          <w:szCs w:val="28"/>
        </w:rPr>
        <w:t>)</w:t>
      </w:r>
      <w:r>
        <w:rPr>
          <w:sz w:val="28"/>
          <w:szCs w:val="28"/>
        </w:rPr>
        <w:t xml:space="preserve"> за 2015 год;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при подготовке  проектов договоров  о предоставлении в 2016 году государственных гарантий Республики Карелия муниципальным образованиям по бюджетным кредитам из федерального бюджета, привлекаемым на пополнение остатков средств на счетах местных бюджетов,  предусмотреть  реализацию права  по удовлетворению  регрессного требования  в связи с исполнением государственной гарантии Республики Карелия за счет средств бюджета </w:t>
      </w:r>
      <w:r w:rsidR="002F4412">
        <w:rPr>
          <w:sz w:val="28"/>
          <w:szCs w:val="28"/>
        </w:rPr>
        <w:t xml:space="preserve">Республики Карелия </w:t>
      </w:r>
      <w:r>
        <w:rPr>
          <w:sz w:val="28"/>
          <w:szCs w:val="28"/>
        </w:rPr>
        <w:t>путем взыскания задолженности  за счет налоговых и неналоговых</w:t>
      </w:r>
      <w:proofErr w:type="gramEnd"/>
      <w:r>
        <w:rPr>
          <w:sz w:val="28"/>
          <w:szCs w:val="28"/>
        </w:rPr>
        <w:t xml:space="preserve"> доходов, поступающих в бюджет соответствующего муниципального образования.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proofErr w:type="gramStart"/>
      <w:r>
        <w:rPr>
          <w:sz w:val="28"/>
          <w:szCs w:val="28"/>
        </w:rPr>
        <w:t xml:space="preserve">Рекомендовать органам местного самоуправления принять меры по сохранению в 2016 году достигнутого уровня средней заработной платы работников муниципальных учреждений, в том числе определенных указами Президента Российской Федерации от 7 мая 2012 года </w:t>
      </w:r>
      <w:r w:rsidR="002F4412">
        <w:rPr>
          <w:sz w:val="28"/>
          <w:szCs w:val="28"/>
        </w:rPr>
        <w:t>№ 597</w:t>
      </w:r>
      <w:r>
        <w:rPr>
          <w:sz w:val="28"/>
          <w:szCs w:val="28"/>
        </w:rPr>
        <w:t xml:space="preserve"> </w:t>
      </w:r>
      <w:r w:rsidR="002F4412">
        <w:rPr>
          <w:sz w:val="28"/>
          <w:szCs w:val="28"/>
        </w:rPr>
        <w:br/>
      </w:r>
      <w:r>
        <w:rPr>
          <w:sz w:val="28"/>
          <w:szCs w:val="28"/>
        </w:rPr>
        <w:t xml:space="preserve">«О мероприятиях по реализации государственной социальной политики» и № 599 «О мерах по реализации государственной политики в области образования и науки», от 1 июня 2012 года </w:t>
      </w:r>
      <w:r w:rsidR="002F4412">
        <w:rPr>
          <w:sz w:val="28"/>
          <w:szCs w:val="28"/>
        </w:rPr>
        <w:t>№ 761</w:t>
      </w:r>
      <w:r>
        <w:rPr>
          <w:sz w:val="28"/>
          <w:szCs w:val="28"/>
        </w:rPr>
        <w:t xml:space="preserve"> «О</w:t>
      </w:r>
      <w:proofErr w:type="gramEnd"/>
      <w:r>
        <w:rPr>
          <w:sz w:val="28"/>
          <w:szCs w:val="28"/>
        </w:rPr>
        <w:t xml:space="preserve"> Национальной стратегии действий в интересах детей на 2012-2017 годы», от 28 декабря 2012 года </w:t>
      </w:r>
      <w:r w:rsidR="002F4412">
        <w:rPr>
          <w:sz w:val="28"/>
          <w:szCs w:val="28"/>
        </w:rPr>
        <w:t xml:space="preserve">№ 1688 </w:t>
      </w:r>
      <w:r>
        <w:rPr>
          <w:sz w:val="28"/>
          <w:szCs w:val="28"/>
        </w:rPr>
        <w:t>«О некоторых мерах по реализации государственной политики в сфере защиты детей-сирот и детей, оставшихся без попечения родителей», в соответствии с минимальными целевыми значениями средней заработной платы рабо</w:t>
      </w:r>
      <w:r w:rsidR="002F4412">
        <w:rPr>
          <w:sz w:val="28"/>
          <w:szCs w:val="28"/>
        </w:rPr>
        <w:t>тников муниципальных учреждений</w:t>
      </w:r>
      <w:r>
        <w:rPr>
          <w:sz w:val="28"/>
          <w:szCs w:val="28"/>
        </w:rPr>
        <w:t xml:space="preserve"> согласно </w:t>
      </w:r>
      <w:r w:rsidR="002F441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 к настоящему распоряжению.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bookmarkStart w:id="0" w:name="Par3"/>
      <w:bookmarkEnd w:id="0"/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Установить, что осуществление Управлением Федерального казначейства по Республике Карелия полномочий получателя средств бюджета Республики Карелия по перечислению бюджет</w:t>
      </w:r>
      <w:r w:rsidR="00D00224">
        <w:rPr>
          <w:sz w:val="28"/>
          <w:szCs w:val="28"/>
        </w:rPr>
        <w:t>ам</w:t>
      </w:r>
      <w:r>
        <w:rPr>
          <w:sz w:val="28"/>
          <w:szCs w:val="28"/>
        </w:rPr>
        <w:t xml:space="preserve"> муниципальных </w:t>
      </w:r>
      <w:r w:rsidR="00D00224">
        <w:rPr>
          <w:sz w:val="28"/>
          <w:szCs w:val="28"/>
        </w:rPr>
        <w:t xml:space="preserve">районов (городских округов) </w:t>
      </w:r>
      <w:r>
        <w:rPr>
          <w:sz w:val="28"/>
          <w:szCs w:val="28"/>
        </w:rPr>
        <w:t>субвенций, включенных в перечень, утверждаемый Правительством Респ</w:t>
      </w:r>
      <w:r w:rsidR="00D00224">
        <w:rPr>
          <w:sz w:val="28"/>
          <w:szCs w:val="28"/>
        </w:rPr>
        <w:t>ублики Карелия, в пределах сумм</w:t>
      </w:r>
      <w:r>
        <w:rPr>
          <w:sz w:val="28"/>
          <w:szCs w:val="28"/>
        </w:rPr>
        <w:t>, необходим</w:t>
      </w:r>
      <w:r w:rsidR="00D00224">
        <w:rPr>
          <w:sz w:val="28"/>
          <w:szCs w:val="28"/>
        </w:rPr>
        <w:t>ых</w:t>
      </w:r>
      <w:r>
        <w:rPr>
          <w:sz w:val="28"/>
          <w:szCs w:val="28"/>
        </w:rPr>
        <w:t xml:space="preserve"> для оплаты денежных обязательств по расходам получателей средств бюджетов муниципальных </w:t>
      </w:r>
      <w:r w:rsidR="00D00224">
        <w:rPr>
          <w:sz w:val="28"/>
          <w:szCs w:val="28"/>
        </w:rPr>
        <w:t>районов (городских округов)</w:t>
      </w:r>
      <w:r>
        <w:rPr>
          <w:sz w:val="28"/>
          <w:szCs w:val="28"/>
        </w:rPr>
        <w:t>, источником финансового обеспечения которых являются данные субвенции, производится в следующем порядке:</w:t>
      </w:r>
      <w:proofErr w:type="gramEnd"/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органы исполнительной власти Республики Карелия, которым утверждены в установленном порядке как главным распорядителям средств бюджета Республики Карелия лимиты бюджетных обязательств на предоставление субвенций, полномочия по перечислению которых передаются Управлению Федерального казначейства по Республике Карелия (далее </w:t>
      </w:r>
      <w:r w:rsidR="00D00224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главные распорядители средств), в течение первых 3 рабочих дней января 2016 года принимают правовые акты, содержащие следующие положения:</w:t>
      </w:r>
      <w:proofErr w:type="gramEnd"/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субвенций, полномочия по перечислению которых бюджет</w:t>
      </w:r>
      <w:r w:rsidR="00D00224">
        <w:rPr>
          <w:sz w:val="28"/>
          <w:szCs w:val="28"/>
        </w:rPr>
        <w:t>ам</w:t>
      </w:r>
      <w:r>
        <w:rPr>
          <w:sz w:val="28"/>
          <w:szCs w:val="28"/>
        </w:rPr>
        <w:t xml:space="preserve"> муниципальных </w:t>
      </w:r>
      <w:r w:rsidR="00D00224">
        <w:rPr>
          <w:sz w:val="28"/>
          <w:szCs w:val="28"/>
        </w:rPr>
        <w:t>районов (городских округов)</w:t>
      </w:r>
      <w:r>
        <w:rPr>
          <w:sz w:val="28"/>
          <w:szCs w:val="28"/>
        </w:rPr>
        <w:t xml:space="preserve"> передаются Управлению Федерального казначейства по Республике Карелия </w:t>
      </w:r>
      <w:r w:rsidR="00D00224">
        <w:rPr>
          <w:sz w:val="28"/>
          <w:szCs w:val="28"/>
        </w:rPr>
        <w:br/>
      </w:r>
      <w:r>
        <w:rPr>
          <w:sz w:val="28"/>
          <w:szCs w:val="28"/>
        </w:rPr>
        <w:t xml:space="preserve">(с указанием наименования бюджета </w:t>
      </w:r>
      <w:r w:rsidR="002144B8">
        <w:rPr>
          <w:sz w:val="28"/>
          <w:szCs w:val="28"/>
        </w:rPr>
        <w:t xml:space="preserve">муниципального </w:t>
      </w:r>
      <w:r w:rsidR="00D00224">
        <w:rPr>
          <w:sz w:val="28"/>
          <w:szCs w:val="28"/>
        </w:rPr>
        <w:t>района (городского округа)</w:t>
      </w:r>
      <w:r w:rsidR="002144B8">
        <w:rPr>
          <w:sz w:val="28"/>
          <w:szCs w:val="28"/>
        </w:rPr>
        <w:t>,</w:t>
      </w:r>
      <w:r>
        <w:rPr>
          <w:sz w:val="28"/>
          <w:szCs w:val="28"/>
        </w:rPr>
        <w:t xml:space="preserve"> кода классификации расходов бюджета Республики Карелия, по которому с 1 января 2016 года подлежат учету операции по перечислению субвенций из бюджета Республики Карелия, кода классификации доходов бюджетов, по которому с 1 января 2016 года</w:t>
      </w:r>
      <w:proofErr w:type="gramEnd"/>
      <w:r>
        <w:rPr>
          <w:sz w:val="28"/>
          <w:szCs w:val="28"/>
        </w:rPr>
        <w:t xml:space="preserve"> подлежат учету операции по поступлению субвенций в бюджеты муниципальных </w:t>
      </w:r>
      <w:r w:rsidR="00F45174">
        <w:rPr>
          <w:sz w:val="28"/>
          <w:szCs w:val="28"/>
        </w:rPr>
        <w:t>районов (городских округов);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нормативных правовых актов о предоставлении субвенций;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информационного взаимодействия между главным распорядителем средств и Управлением Федерального казначейства по Республике Карелия;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копия правового акта главного распорядителя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 xml:space="preserve">ечение 3 рабочих дней со дня его подписания направляется в Управление Федерального казначейства по Республике Карелия и в финансовый орган муниципального </w:t>
      </w:r>
      <w:r w:rsidR="00D00224">
        <w:rPr>
          <w:sz w:val="28"/>
          <w:szCs w:val="28"/>
        </w:rPr>
        <w:t>района (городского округа)</w:t>
      </w:r>
      <w:r>
        <w:rPr>
          <w:sz w:val="28"/>
          <w:szCs w:val="28"/>
        </w:rPr>
        <w:t>, бюджету которого предоставляются субвенции;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bookmarkStart w:id="1" w:name="Par9"/>
      <w:bookmarkEnd w:id="1"/>
      <w:proofErr w:type="gramStart"/>
      <w:r>
        <w:rPr>
          <w:sz w:val="28"/>
          <w:szCs w:val="28"/>
        </w:rPr>
        <w:t>в) предоставление субвенций осуществляется в пределах бюджетных ассигнований, лимитов бюджетных обязательств, предельных объемов финансирования, доведенных в установленном порядке главному распорядителю средств на указанные цели и учтенных на лицевых счетах, предназначенных для отражения операций по переданным полномочиям, открытых в установленном Федеральным казначейством порядке главному распорядителю средств в Управлении Федерального казначейства по Республике Карелия;</w:t>
      </w:r>
      <w:proofErr w:type="gramEnd"/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перечисление Управлением Федерального казначейства по Республике Карелия субвенций осуществляется на счета, открытые Управлению Федерального казначейства по Республике Карелия в учреждении Центрального банка Российской Федерации для учета операций со средствами, поступающими в бюджеты муниципальных образований, с отражением соответствующих операций на лицевых счетах, указанных в </w:t>
      </w:r>
      <w:hyperlink r:id="rId9" w:anchor="Par9" w:history="1">
        <w:r w:rsidRPr="00D00224">
          <w:rPr>
            <w:rStyle w:val="af7"/>
            <w:color w:val="auto"/>
            <w:sz w:val="28"/>
            <w:szCs w:val="28"/>
            <w:u w:val="none"/>
          </w:rPr>
          <w:t>подпункте «в</w:t>
        </w:r>
      </w:hyperlink>
      <w:r w:rsidRPr="00D00224">
        <w:rPr>
          <w:sz w:val="28"/>
          <w:szCs w:val="28"/>
        </w:rPr>
        <w:t>»</w:t>
      </w:r>
      <w:r>
        <w:rPr>
          <w:sz w:val="28"/>
          <w:szCs w:val="28"/>
        </w:rPr>
        <w:t xml:space="preserve"> настоящего пункта, в порядке, установленном Федеральным казначейством;</w:t>
      </w:r>
      <w:proofErr w:type="gramEnd"/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операции по кассовым расходам бюджетов муниципальных </w:t>
      </w:r>
      <w:r w:rsidR="00D00224">
        <w:rPr>
          <w:sz w:val="28"/>
          <w:szCs w:val="28"/>
        </w:rPr>
        <w:t>районов (городских округов)</w:t>
      </w:r>
      <w:r>
        <w:rPr>
          <w:sz w:val="28"/>
          <w:szCs w:val="28"/>
        </w:rPr>
        <w:t xml:space="preserve">, источником финансового обеспечения которых являются субвенции, осуществляются не позднее рабочего дня, следующего за днем представления получателями средств бюджетов муниципальных </w:t>
      </w:r>
      <w:r w:rsidR="00D00224">
        <w:rPr>
          <w:sz w:val="28"/>
          <w:szCs w:val="28"/>
        </w:rPr>
        <w:t>районов (городских округов)</w:t>
      </w:r>
      <w:r>
        <w:rPr>
          <w:sz w:val="28"/>
          <w:szCs w:val="28"/>
        </w:rPr>
        <w:t xml:space="preserve"> в Управление Федерального казначейства по Республике Карелия платежных документов, оформленных в установленном порядке.</w:t>
      </w: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</w:t>
      </w:r>
      <w:r w:rsidR="00F45174">
        <w:rPr>
          <w:sz w:val="28"/>
          <w:szCs w:val="28"/>
        </w:rPr>
        <w:t>, за исключением пункта 9</w:t>
      </w:r>
      <w:r w:rsidR="002144B8">
        <w:rPr>
          <w:sz w:val="28"/>
          <w:szCs w:val="28"/>
        </w:rPr>
        <w:t>,</w:t>
      </w:r>
      <w:r>
        <w:rPr>
          <w:sz w:val="28"/>
          <w:szCs w:val="28"/>
        </w:rPr>
        <w:t xml:space="preserve"> возложить на Минист</w:t>
      </w:r>
      <w:r w:rsidR="002144B8">
        <w:rPr>
          <w:sz w:val="28"/>
          <w:szCs w:val="28"/>
        </w:rPr>
        <w:t>ерство</w:t>
      </w:r>
      <w:r>
        <w:rPr>
          <w:sz w:val="28"/>
          <w:szCs w:val="28"/>
        </w:rPr>
        <w:t xml:space="preserve"> финансов</w:t>
      </w:r>
      <w:r w:rsidR="002144B8">
        <w:rPr>
          <w:sz w:val="28"/>
          <w:szCs w:val="28"/>
        </w:rPr>
        <w:t xml:space="preserve"> Республики Карелия</w:t>
      </w:r>
      <w:r w:rsidR="00F45174">
        <w:rPr>
          <w:sz w:val="28"/>
          <w:szCs w:val="28"/>
        </w:rPr>
        <w:t>.</w:t>
      </w:r>
    </w:p>
    <w:p w:rsidR="002144B8" w:rsidRDefault="002144B8" w:rsidP="004B1C12">
      <w:pPr>
        <w:pStyle w:val="ConsPlusNormal"/>
        <w:ind w:firstLine="540"/>
        <w:jc w:val="both"/>
        <w:rPr>
          <w:sz w:val="28"/>
          <w:szCs w:val="28"/>
        </w:rPr>
      </w:pPr>
    </w:p>
    <w:p w:rsidR="002144B8" w:rsidRDefault="002144B8" w:rsidP="004B1C12">
      <w:pPr>
        <w:pStyle w:val="ConsPlusNormal"/>
        <w:ind w:firstLine="540"/>
        <w:jc w:val="both"/>
        <w:rPr>
          <w:sz w:val="28"/>
          <w:szCs w:val="28"/>
        </w:rPr>
      </w:pPr>
    </w:p>
    <w:p w:rsidR="004B1C12" w:rsidRDefault="004B1C12" w:rsidP="004B1C12">
      <w:pPr>
        <w:pStyle w:val="ConsPlusNormal"/>
        <w:ind w:firstLine="540"/>
        <w:jc w:val="both"/>
        <w:rPr>
          <w:sz w:val="28"/>
          <w:szCs w:val="28"/>
        </w:rPr>
      </w:pPr>
    </w:p>
    <w:p w:rsidR="002F4412" w:rsidRDefault="004B1C12" w:rsidP="002F441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F4412" w:rsidRDefault="004B1C12" w:rsidP="002F441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  <w:r w:rsidR="002F4412" w:rsidRPr="002F4412">
        <w:rPr>
          <w:sz w:val="28"/>
          <w:szCs w:val="28"/>
        </w:rPr>
        <w:t xml:space="preserve"> </w:t>
      </w:r>
      <w:r w:rsidR="002F4412">
        <w:rPr>
          <w:sz w:val="28"/>
          <w:szCs w:val="28"/>
        </w:rPr>
        <w:tab/>
      </w:r>
      <w:r w:rsidR="002F4412">
        <w:rPr>
          <w:sz w:val="28"/>
          <w:szCs w:val="28"/>
        </w:rPr>
        <w:tab/>
      </w:r>
      <w:r w:rsidR="002F4412">
        <w:rPr>
          <w:sz w:val="28"/>
          <w:szCs w:val="28"/>
        </w:rPr>
        <w:tab/>
      </w:r>
      <w:r w:rsidR="002F4412">
        <w:rPr>
          <w:sz w:val="28"/>
          <w:szCs w:val="28"/>
        </w:rPr>
        <w:tab/>
      </w:r>
      <w:r w:rsidR="002F4412">
        <w:rPr>
          <w:sz w:val="28"/>
          <w:szCs w:val="28"/>
        </w:rPr>
        <w:tab/>
      </w:r>
      <w:r w:rsidR="002F4412">
        <w:rPr>
          <w:sz w:val="28"/>
          <w:szCs w:val="28"/>
        </w:rPr>
        <w:tab/>
      </w:r>
      <w:r w:rsidR="002F4412">
        <w:rPr>
          <w:sz w:val="28"/>
          <w:szCs w:val="28"/>
        </w:rPr>
        <w:tab/>
        <w:t xml:space="preserve">А.П. </w:t>
      </w:r>
      <w:proofErr w:type="spellStart"/>
      <w:r w:rsidR="002F4412">
        <w:rPr>
          <w:sz w:val="28"/>
          <w:szCs w:val="28"/>
        </w:rPr>
        <w:t>Худилайнен</w:t>
      </w:r>
      <w:proofErr w:type="spellEnd"/>
    </w:p>
    <w:p w:rsidR="004B1C12" w:rsidRDefault="004B1C12" w:rsidP="002F4412">
      <w:pPr>
        <w:pStyle w:val="ConsPlusNormal"/>
        <w:rPr>
          <w:sz w:val="28"/>
          <w:szCs w:val="28"/>
        </w:rPr>
      </w:pPr>
    </w:p>
    <w:p w:rsidR="004B1C12" w:rsidRDefault="004B1C12" w:rsidP="004B1C12">
      <w:pPr>
        <w:pStyle w:val="ConsPlusNormal"/>
        <w:jc w:val="right"/>
        <w:rPr>
          <w:sz w:val="22"/>
        </w:rPr>
      </w:pPr>
    </w:p>
    <w:p w:rsidR="002F4412" w:rsidRDefault="002F4412" w:rsidP="004B1C12">
      <w:pPr>
        <w:pStyle w:val="ConsPlusNormal"/>
        <w:jc w:val="right"/>
        <w:sectPr w:rsidR="002F4412" w:rsidSect="002144B8">
          <w:head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4B1C12" w:rsidRPr="002F4412" w:rsidRDefault="004B1C12" w:rsidP="002F4412">
      <w:pPr>
        <w:pStyle w:val="ConsPlusNormal"/>
        <w:ind w:firstLine="5103"/>
        <w:rPr>
          <w:sz w:val="24"/>
          <w:szCs w:val="24"/>
        </w:rPr>
      </w:pPr>
      <w:r w:rsidRPr="002F4412">
        <w:rPr>
          <w:sz w:val="24"/>
          <w:szCs w:val="24"/>
        </w:rPr>
        <w:lastRenderedPageBreak/>
        <w:t>Приложение 1</w:t>
      </w:r>
    </w:p>
    <w:p w:rsidR="004B1C12" w:rsidRPr="002F4412" w:rsidRDefault="004B1C12" w:rsidP="002F4412">
      <w:pPr>
        <w:pStyle w:val="ConsPlusNormal"/>
        <w:ind w:firstLine="5103"/>
        <w:rPr>
          <w:sz w:val="24"/>
          <w:szCs w:val="24"/>
        </w:rPr>
      </w:pPr>
      <w:r w:rsidRPr="002F4412">
        <w:rPr>
          <w:sz w:val="24"/>
          <w:szCs w:val="24"/>
        </w:rPr>
        <w:t>к распоряжению</w:t>
      </w:r>
    </w:p>
    <w:p w:rsidR="004B1C12" w:rsidRPr="002F4412" w:rsidRDefault="004B1C12" w:rsidP="002F4412">
      <w:pPr>
        <w:pStyle w:val="ConsPlusNormal"/>
        <w:ind w:firstLine="5103"/>
        <w:rPr>
          <w:sz w:val="24"/>
          <w:szCs w:val="24"/>
        </w:rPr>
      </w:pPr>
      <w:r w:rsidRPr="002F4412">
        <w:rPr>
          <w:sz w:val="24"/>
          <w:szCs w:val="24"/>
        </w:rPr>
        <w:t>Правительства Республики Карелия</w:t>
      </w:r>
    </w:p>
    <w:p w:rsidR="004B1C12" w:rsidRPr="002F4412" w:rsidRDefault="004B1C12" w:rsidP="002F4412">
      <w:pPr>
        <w:pStyle w:val="ConsPlusNormal"/>
        <w:ind w:firstLine="5103"/>
        <w:rPr>
          <w:sz w:val="24"/>
          <w:szCs w:val="24"/>
        </w:rPr>
      </w:pPr>
      <w:r w:rsidRPr="002F4412">
        <w:rPr>
          <w:sz w:val="24"/>
          <w:szCs w:val="24"/>
        </w:rPr>
        <w:t xml:space="preserve">от </w:t>
      </w:r>
      <w:r w:rsidR="000C7EF4">
        <w:rPr>
          <w:sz w:val="24"/>
          <w:szCs w:val="24"/>
        </w:rPr>
        <w:t>31 декабря 2015 года № 840р-П</w:t>
      </w:r>
      <w:r w:rsidRPr="002F4412">
        <w:rPr>
          <w:sz w:val="24"/>
          <w:szCs w:val="24"/>
        </w:rPr>
        <w:t xml:space="preserve">    </w:t>
      </w:r>
    </w:p>
    <w:p w:rsidR="004B1C12" w:rsidRDefault="004B1C12" w:rsidP="004B1C12">
      <w:pPr>
        <w:pStyle w:val="ConsPlusNormal"/>
        <w:ind w:firstLine="540"/>
        <w:jc w:val="both"/>
      </w:pPr>
    </w:p>
    <w:p w:rsidR="004B1C12" w:rsidRPr="002F4412" w:rsidRDefault="004B1C12" w:rsidP="004B1C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8"/>
      <w:bookmarkEnd w:id="2"/>
      <w:r w:rsidRPr="002F4412">
        <w:rPr>
          <w:rFonts w:ascii="Times New Roman" w:hAnsi="Times New Roman" w:cs="Times New Roman"/>
          <w:sz w:val="24"/>
          <w:szCs w:val="24"/>
        </w:rPr>
        <w:t>ПРОГНОЗИРУЕМЫЕ ПОСТУПЛЕНИЯ</w:t>
      </w:r>
    </w:p>
    <w:p w:rsidR="004B1C12" w:rsidRPr="002F4412" w:rsidRDefault="004B1C12" w:rsidP="004B1C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412">
        <w:rPr>
          <w:rFonts w:ascii="Times New Roman" w:hAnsi="Times New Roman" w:cs="Times New Roman"/>
          <w:sz w:val="24"/>
          <w:szCs w:val="24"/>
        </w:rPr>
        <w:t>ДОХОДОВ В БЮДЖЕТ РЕСПУБЛИКИ КАРЕЛИЯ НА 2016 ГОД</w:t>
      </w:r>
    </w:p>
    <w:p w:rsidR="002F4412" w:rsidRDefault="004B1C12" w:rsidP="004B1C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412">
        <w:rPr>
          <w:rFonts w:ascii="Times New Roman" w:hAnsi="Times New Roman" w:cs="Times New Roman"/>
          <w:sz w:val="24"/>
          <w:szCs w:val="24"/>
        </w:rPr>
        <w:t xml:space="preserve">ПО ГЛАВНЫМ АДМИНИСТРАТОРАМ ДОХОДОВ БЮДЖЕТА </w:t>
      </w:r>
    </w:p>
    <w:p w:rsidR="004B1C12" w:rsidRPr="002F4412" w:rsidRDefault="004B1C12" w:rsidP="004B1C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412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4B1C12" w:rsidRDefault="004B1C12" w:rsidP="004B1C12"/>
    <w:tbl>
      <w:tblPr>
        <w:tblW w:w="9462" w:type="dxa"/>
        <w:tblInd w:w="93" w:type="dxa"/>
        <w:tblLook w:val="04A0"/>
      </w:tblPr>
      <w:tblGrid>
        <w:gridCol w:w="1149"/>
        <w:gridCol w:w="2620"/>
        <w:gridCol w:w="4113"/>
        <w:gridCol w:w="1580"/>
      </w:tblGrid>
      <w:tr w:rsidR="004B1C12" w:rsidTr="004B1C12">
        <w:trPr>
          <w:trHeight w:val="825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главного администратора доходов и вида (подвида) доходов бюджета Республики Карелия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C12" w:rsidRDefault="004B1C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Сумма доходов </w:t>
            </w:r>
          </w:p>
          <w:p w:rsidR="004B1C12" w:rsidRDefault="004B1C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(тыс. рублей)</w:t>
            </w:r>
          </w:p>
        </w:tc>
      </w:tr>
      <w:tr w:rsidR="004B1C12" w:rsidTr="004B1C12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C12" w:rsidRDefault="004B1C12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B1C12" w:rsidRDefault="004B1C12" w:rsidP="004B1C12">
      <w:pPr>
        <w:rPr>
          <w:color w:val="000000"/>
          <w:sz w:val="24"/>
          <w:szCs w:val="24"/>
        </w:rPr>
        <w:sectPr w:rsidR="004B1C12" w:rsidSect="00D00224"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81"/>
        </w:sectPr>
      </w:pPr>
    </w:p>
    <w:tbl>
      <w:tblPr>
        <w:tblW w:w="9462" w:type="dxa"/>
        <w:tblInd w:w="93" w:type="dxa"/>
        <w:tblLook w:val="04A0"/>
      </w:tblPr>
      <w:tblGrid>
        <w:gridCol w:w="1149"/>
        <w:gridCol w:w="2620"/>
        <w:gridCol w:w="4113"/>
        <w:gridCol w:w="1580"/>
      </w:tblGrid>
      <w:tr w:rsidR="004B1C12" w:rsidTr="004B1C12">
        <w:trPr>
          <w:trHeight w:val="31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20" w:type="dxa"/>
            <w:vAlign w:val="center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территориальный орган Федеральной службы по надзору в сфере природопользования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20 600,0</w:t>
            </w:r>
          </w:p>
        </w:tc>
      </w:tr>
      <w:tr w:rsidR="004B1C12" w:rsidTr="004B1C12">
        <w:trPr>
          <w:trHeight w:val="31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1 12 01000 01 0000 120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20 600,0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vAlign w:val="center"/>
            <w:hideMark/>
          </w:tcPr>
          <w:p w:rsidR="004B1C12" w:rsidRDefault="004B1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053</w:t>
            </w:r>
          </w:p>
        </w:tc>
        <w:tc>
          <w:tcPr>
            <w:tcW w:w="2620" w:type="dxa"/>
            <w:vAlign w:val="center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2F44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</w:t>
            </w:r>
            <w:r w:rsidR="004B1C12">
              <w:rPr>
                <w:b/>
                <w:bCs/>
                <w:sz w:val="24"/>
                <w:szCs w:val="24"/>
              </w:rPr>
              <w:t>едерального агентства лесного хозяйства</w:t>
            </w:r>
          </w:p>
        </w:tc>
        <w:tc>
          <w:tcPr>
            <w:tcW w:w="1580" w:type="dxa"/>
            <w:noWrap/>
            <w:vAlign w:val="center"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4B1C12" w:rsidTr="004B1C12">
        <w:trPr>
          <w:trHeight w:val="75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1 16 27000 01 0000 140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</w:t>
            </w:r>
            <w:r w:rsidR="00F45174">
              <w:rPr>
                <w:sz w:val="24"/>
                <w:szCs w:val="24"/>
              </w:rPr>
              <w:t>ации о пожарной безопасности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noWrap/>
            <w:vAlign w:val="center"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4B1C12" w:rsidTr="004B1C12">
        <w:trPr>
          <w:trHeight w:val="69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096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4B1C12" w:rsidTr="004B1C12">
        <w:trPr>
          <w:trHeight w:val="157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1 08 07130 01 0000 110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преимущественно на территории субъекта Российской Федерации, а также за выдачу дубликата свидетельства о такой регистрации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4B1C12" w:rsidTr="004B1C12">
        <w:trPr>
          <w:trHeight w:val="31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1 160 002,0</w:t>
            </w:r>
          </w:p>
        </w:tc>
      </w:tr>
      <w:tr w:rsidR="004B1C12" w:rsidTr="00F45174">
        <w:trPr>
          <w:trHeight w:val="784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1 03 02230 01 0000 110</w:t>
            </w:r>
          </w:p>
        </w:tc>
        <w:tc>
          <w:tcPr>
            <w:tcW w:w="4113" w:type="dxa"/>
            <w:vAlign w:val="bottom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>
              <w:rPr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493 026,0</w:t>
            </w:r>
          </w:p>
        </w:tc>
      </w:tr>
      <w:tr w:rsidR="004B1C12" w:rsidTr="004B1C12">
        <w:trPr>
          <w:trHeight w:val="157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1 03 02240 01 0000 110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10 342,0</w:t>
            </w:r>
          </w:p>
        </w:tc>
      </w:tr>
      <w:tr w:rsidR="004B1C12" w:rsidTr="004B1C12">
        <w:trPr>
          <w:trHeight w:val="126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1 03 02250 01 0000 110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893 641,0</w:t>
            </w:r>
          </w:p>
        </w:tc>
      </w:tr>
      <w:tr w:rsidR="004B1C12" w:rsidTr="004B1C12">
        <w:trPr>
          <w:trHeight w:val="126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1 03 02260 01 0000 110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-237 007,0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vAlign w:val="center"/>
            <w:hideMark/>
          </w:tcPr>
          <w:p w:rsidR="004B1C12" w:rsidRDefault="004B1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620" w:type="dxa"/>
            <w:vAlign w:val="center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территориальный орган Федеральной службы по надзору в сфере транспорта</w:t>
            </w:r>
          </w:p>
        </w:tc>
        <w:tc>
          <w:tcPr>
            <w:tcW w:w="1580" w:type="dxa"/>
            <w:noWrap/>
            <w:vAlign w:val="center"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530,0</w:t>
            </w:r>
          </w:p>
        </w:tc>
      </w:tr>
      <w:tr w:rsidR="004B1C12" w:rsidTr="004B1C12">
        <w:trPr>
          <w:trHeight w:val="102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1 16 30012 01 0000 140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580" w:type="dxa"/>
            <w:noWrap/>
            <w:vAlign w:val="center"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1 16 30020 01 0000 140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580" w:type="dxa"/>
            <w:noWrap/>
            <w:vAlign w:val="center"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B1C12" w:rsidTr="004B1C12">
        <w:trPr>
          <w:trHeight w:val="3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территориальные органы Федеральной антимонопольной службы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1 16 26000 01 0000 140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 нарушение законодательства о рекламе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4B1C12" w:rsidTr="004B1C12">
        <w:trPr>
          <w:trHeight w:val="135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4B1C12" w:rsidTr="004B1C12">
        <w:trPr>
          <w:trHeight w:val="94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3 800,0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1 16 27000 01 0000 140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3 800,0</w:t>
            </w:r>
          </w:p>
        </w:tc>
      </w:tr>
      <w:tr w:rsidR="004B1C12" w:rsidTr="004B1C12">
        <w:trPr>
          <w:trHeight w:val="31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Федеральной налоговой службы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17 979 232,0</w:t>
            </w:r>
          </w:p>
        </w:tc>
      </w:tr>
      <w:tr w:rsidR="004B1C12" w:rsidTr="004B1C12">
        <w:trPr>
          <w:trHeight w:val="94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1 01 01012 02 0000 110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3 883 000,0</w:t>
            </w:r>
          </w:p>
        </w:tc>
      </w:tr>
      <w:tr w:rsidR="004B1C12" w:rsidTr="004B1C12">
        <w:trPr>
          <w:trHeight w:val="94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1 01 01014 02 0000 110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600 000,0</w:t>
            </w:r>
          </w:p>
        </w:tc>
      </w:tr>
      <w:tr w:rsidR="004B1C12" w:rsidTr="004B1C12">
        <w:trPr>
          <w:trHeight w:val="31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7 865 385,0</w:t>
            </w:r>
          </w:p>
        </w:tc>
      </w:tr>
      <w:tr w:rsidR="004B1C12" w:rsidTr="004B1C12">
        <w:trPr>
          <w:trHeight w:val="46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1 03 02100 01 0000 110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9 970,0</w:t>
            </w:r>
          </w:p>
        </w:tc>
      </w:tr>
      <w:tr w:rsidR="004B1C12" w:rsidTr="004B1C12">
        <w:trPr>
          <w:trHeight w:val="234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1 03 02110 01 0000 110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  <w:proofErr w:type="gramEnd"/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630 000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1 05 01010 01 0000 110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882 313,0</w:t>
            </w:r>
          </w:p>
        </w:tc>
      </w:tr>
      <w:tr w:rsidR="004B1C12" w:rsidTr="004B1C12">
        <w:trPr>
          <w:trHeight w:val="67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1 05 01020 01 0000 110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445 114,0</w:t>
            </w:r>
          </w:p>
        </w:tc>
      </w:tr>
      <w:tr w:rsidR="004B1C12" w:rsidTr="004B1C12">
        <w:trPr>
          <w:trHeight w:val="60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1 05 01050 01 0000 110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налог, зачисляемый в бюджеты  субъектов Российской Федерации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127 573,0</w:t>
            </w:r>
          </w:p>
        </w:tc>
      </w:tr>
      <w:tr w:rsidR="004B1C12" w:rsidTr="004B1C12">
        <w:trPr>
          <w:trHeight w:val="1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1 05 03020 01 0000 110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0"/>
              </w:rPr>
            </w:pPr>
          </w:p>
        </w:tc>
      </w:tr>
      <w:tr w:rsidR="004B1C12" w:rsidTr="004B1C12">
        <w:trPr>
          <w:trHeight w:val="31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1 06 02000 02 0000 110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2 335 640,0</w:t>
            </w:r>
          </w:p>
        </w:tc>
      </w:tr>
      <w:tr w:rsidR="004B1C12" w:rsidTr="004B1C12">
        <w:trPr>
          <w:trHeight w:val="31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1 06 04000 02 0000 110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596 085,0</w:t>
            </w:r>
          </w:p>
        </w:tc>
      </w:tr>
      <w:tr w:rsidR="004B1C12" w:rsidTr="004B1C12">
        <w:trPr>
          <w:trHeight w:val="31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1 06 05000 02 0000 110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игорный бизнес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672,0</w:t>
            </w:r>
          </w:p>
        </w:tc>
      </w:tr>
      <w:tr w:rsidR="004B1C12" w:rsidTr="004B1C12">
        <w:trPr>
          <w:trHeight w:val="31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1 07 01020 01 0000 110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220 000,0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1 07 01030 01 0000 110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340 000,0</w:t>
            </w:r>
          </w:p>
        </w:tc>
      </w:tr>
      <w:tr w:rsidR="004B1C12" w:rsidTr="004B1C12">
        <w:trPr>
          <w:trHeight w:val="31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1 07 04010 01 0000 110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животного мира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4 600,0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1 07 04020 01 0000 110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37 120,0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1 07 04030 01 0000 110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4B1C12" w:rsidTr="004B1C12">
        <w:trPr>
          <w:trHeight w:val="94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1 08 02020 01 0000 110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B1C12" w:rsidTr="00F45174">
        <w:trPr>
          <w:trHeight w:val="3034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1 08 07010 01 0000 110</w:t>
            </w:r>
          </w:p>
        </w:tc>
        <w:tc>
          <w:tcPr>
            <w:tcW w:w="4113" w:type="dxa"/>
            <w:hideMark/>
          </w:tcPr>
          <w:p w:rsidR="004B1C12" w:rsidRDefault="003C684C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1 12 02030 01 0000 120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регулярные платежи за пользование недрами при пользовании недрами на территории Российской Федерации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1 427,0</w:t>
            </w:r>
          </w:p>
        </w:tc>
      </w:tr>
      <w:tr w:rsidR="004B1C12" w:rsidTr="004B1C12">
        <w:trPr>
          <w:trHeight w:val="94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1 16 03020 02 0000 140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4B1C12" w:rsidTr="004B1C12">
        <w:trPr>
          <w:trHeight w:val="31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Министерство внутренних дел по Республике Карелия                        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251 852,0</w:t>
            </w:r>
          </w:p>
        </w:tc>
      </w:tr>
      <w:tr w:rsidR="004B1C12" w:rsidTr="004B1C12">
        <w:trPr>
          <w:trHeight w:val="118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1 16 30012 01 0000 140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1 16 30020 01 0000 140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251 302,0</w:t>
            </w:r>
          </w:p>
        </w:tc>
      </w:tr>
      <w:tr w:rsidR="004B1C12" w:rsidTr="004B1C12">
        <w:trPr>
          <w:trHeight w:val="31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Федеральной миграционной службы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4 755,0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1 08 07100 01 0000 110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4 755,0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территориальные органы Министерства юстиции Российской Федерации           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285,0</w:t>
            </w:r>
          </w:p>
        </w:tc>
      </w:tr>
      <w:tr w:rsidR="004B1C12" w:rsidTr="004B1C12">
        <w:trPr>
          <w:trHeight w:val="138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1 08 07110 01 0000 110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 их учредительных документов                             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264,0</w:t>
            </w:r>
          </w:p>
        </w:tc>
      </w:tr>
      <w:tr w:rsidR="004B1C12" w:rsidTr="004B1C12">
        <w:trPr>
          <w:trHeight w:val="66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1 08 07120 01 0000 110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государственную регистрацию политических партий и </w:t>
            </w:r>
            <w:proofErr w:type="spellStart"/>
            <w:proofErr w:type="gramStart"/>
            <w:r>
              <w:rPr>
                <w:sz w:val="24"/>
                <w:szCs w:val="24"/>
              </w:rPr>
              <w:t>региональ</w:t>
            </w:r>
            <w:r w:rsidR="00D002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отделений политических партий                 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4B1C12" w:rsidTr="004B1C12">
        <w:trPr>
          <w:trHeight w:val="66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Федеральной службы государственной регистрации, кадастра и картографии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47 880,0</w:t>
            </w:r>
          </w:p>
        </w:tc>
      </w:tr>
      <w:tr w:rsidR="004B1C12" w:rsidTr="004B1C12">
        <w:trPr>
          <w:trHeight w:val="9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1 08 07020 01 0000 110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47 880,0</w:t>
            </w:r>
          </w:p>
        </w:tc>
      </w:tr>
      <w:tr w:rsidR="004B1C12" w:rsidTr="00D00224">
        <w:trPr>
          <w:trHeight w:val="358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1 485 003,3</w:t>
            </w:r>
          </w:p>
        </w:tc>
      </w:tr>
      <w:tr w:rsidR="004B1C12" w:rsidTr="004B1C12">
        <w:trPr>
          <w:trHeight w:val="91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</w:tr>
      <w:tr w:rsidR="004B1C12" w:rsidTr="004B1C12">
        <w:trPr>
          <w:trHeight w:val="127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2 02 02172 02 0000 151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170 546,7</w:t>
            </w:r>
          </w:p>
        </w:tc>
      </w:tr>
      <w:tr w:rsidR="004B1C12" w:rsidTr="004B1C12">
        <w:trPr>
          <w:trHeight w:val="133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2 02 02173 02 0000 151</w:t>
            </w:r>
          </w:p>
        </w:tc>
        <w:tc>
          <w:tcPr>
            <w:tcW w:w="4113" w:type="dxa"/>
            <w:vAlign w:val="bottom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24 765,6</w:t>
            </w:r>
          </w:p>
        </w:tc>
      </w:tr>
      <w:tr w:rsidR="004B1C12" w:rsidTr="004B1C12">
        <w:trPr>
          <w:trHeight w:val="94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2 02 02208 02 0000 151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</w:t>
            </w:r>
            <w:r w:rsidR="002F4412">
              <w:rPr>
                <w:color w:val="000000"/>
                <w:sz w:val="24"/>
                <w:szCs w:val="24"/>
              </w:rPr>
              <w:t>ализацию отдельных мероприятий г</w:t>
            </w:r>
            <w:r>
              <w:rPr>
                <w:color w:val="000000"/>
                <w:sz w:val="24"/>
                <w:szCs w:val="24"/>
              </w:rPr>
              <w:t>осударственной программы Российской Федерации «Развитие здравоохранения»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3 979,2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2 02 03001 02 0000 151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630 613,4</w:t>
            </w:r>
          </w:p>
        </w:tc>
      </w:tr>
      <w:tr w:rsidR="004B1C12" w:rsidTr="004B1C12">
        <w:trPr>
          <w:trHeight w:val="135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2 02 03004 02 0000 151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75 994,5</w:t>
            </w:r>
          </w:p>
        </w:tc>
      </w:tr>
      <w:tr w:rsidR="004B1C12" w:rsidTr="004B1C12">
        <w:trPr>
          <w:trHeight w:val="126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2 02 03011 02 0000 151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</w:tr>
      <w:tr w:rsidR="004B1C12" w:rsidTr="00D00224">
        <w:trPr>
          <w:trHeight w:val="642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2 02 03012 02 0000 151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</w:t>
            </w:r>
            <w:r>
              <w:rPr>
                <w:color w:val="000000"/>
                <w:sz w:val="24"/>
                <w:szCs w:val="24"/>
              </w:rPr>
              <w:lastRenderedPageBreak/>
              <w:t>ответственности владельцев транспортных средств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200,5</w:t>
            </w:r>
          </w:p>
        </w:tc>
      </w:tr>
      <w:tr w:rsidR="004B1C12" w:rsidTr="004B1C12">
        <w:trPr>
          <w:trHeight w:val="94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2 02 03020 02 0000 151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6 472,3</w:t>
            </w:r>
          </w:p>
        </w:tc>
      </w:tr>
      <w:tr w:rsidR="004B1C12" w:rsidTr="004B1C12">
        <w:trPr>
          <w:trHeight w:val="157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2 02 03053 02 0000 151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6 802,6</w:t>
            </w:r>
          </w:p>
        </w:tc>
      </w:tr>
      <w:tr w:rsidR="004B1C12" w:rsidTr="004B1C12">
        <w:trPr>
          <w:trHeight w:val="192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2 02 03069 02 0000 151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 Федерации  на обеспечение жильем отдельных 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151 748,1</w:t>
            </w:r>
          </w:p>
        </w:tc>
      </w:tr>
      <w:tr w:rsidR="004B1C12" w:rsidTr="004B1C12">
        <w:trPr>
          <w:trHeight w:val="163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2 02 03070 02 0000 151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 субъектов Российской Федерации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18 877,1</w:t>
            </w:r>
          </w:p>
        </w:tc>
      </w:tr>
      <w:tr w:rsidR="004B1C12" w:rsidTr="002F4412">
        <w:trPr>
          <w:trHeight w:val="358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2 02 03122 02 0000 151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253 307,9</w:t>
            </w:r>
          </w:p>
        </w:tc>
      </w:tr>
      <w:tr w:rsidR="004B1C12" w:rsidTr="004B1C12">
        <w:trPr>
          <w:trHeight w:val="129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2 02 03123 02 0000 151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8 987,7</w:t>
            </w:r>
          </w:p>
        </w:tc>
      </w:tr>
      <w:tr w:rsidR="004B1C12" w:rsidTr="004B1C12">
        <w:trPr>
          <w:trHeight w:val="130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2 02 04017 02 0000 151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осуществление отдельных полномочий в области обеспечения лекарственными препаратами, а также специализированными продуктами лечебного питания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77 251,0</w:t>
            </w:r>
          </w:p>
        </w:tc>
      </w:tr>
      <w:tr w:rsidR="004B1C12" w:rsidTr="004B1C12">
        <w:trPr>
          <w:trHeight w:val="135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2 02 04055 02 0000 151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С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29 701,4</w:t>
            </w:r>
          </w:p>
        </w:tc>
      </w:tr>
      <w:tr w:rsidR="004B1C12" w:rsidTr="004B1C12">
        <w:trPr>
          <w:trHeight w:val="307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2 02 04062 02 0000 151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>, гипофизарным нанизмом, болезнью Гоше, рассеянным склерозом, а также после трансплантации органов и (или) тканей</w:t>
            </w:r>
            <w:proofErr w:type="gramEnd"/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2 633,7</w:t>
            </w:r>
          </w:p>
        </w:tc>
      </w:tr>
      <w:tr w:rsidR="004B1C12" w:rsidTr="00D00224">
        <w:trPr>
          <w:trHeight w:val="1917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2 02 04064 02 0000 151</w:t>
            </w:r>
          </w:p>
        </w:tc>
        <w:tc>
          <w:tcPr>
            <w:tcW w:w="4113" w:type="dxa"/>
            <w:hideMark/>
          </w:tcPr>
          <w:p w:rsidR="004B1C12" w:rsidRDefault="004B1C12" w:rsidP="002F441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закупок антибактериальных и противотуберкул</w:t>
            </w:r>
            <w:r w:rsidR="002F441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зных лекарственных препаратов (второго ряда), применяемых при лечении больных туберкул</w:t>
            </w:r>
            <w:r w:rsidR="002F441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зом с множественной лекарственной устойчивостью возбудителя, и </w:t>
            </w:r>
            <w:r>
              <w:rPr>
                <w:color w:val="000000"/>
                <w:sz w:val="24"/>
                <w:szCs w:val="24"/>
              </w:rPr>
              <w:lastRenderedPageBreak/>
              <w:t>диагностических средств для выявления, определения чувствительности микобактерии туберкул</w:t>
            </w:r>
            <w:r w:rsidR="002F441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за и мониторинга лечения больных туберкул</w:t>
            </w:r>
            <w:r w:rsidR="002F441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зом с множественной лекарственной устойчивостью возбудителя</w:t>
            </w:r>
            <w:proofErr w:type="gramEnd"/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11 079,6</w:t>
            </w:r>
          </w:p>
        </w:tc>
      </w:tr>
      <w:tr w:rsidR="004B1C12" w:rsidTr="004B1C12">
        <w:trPr>
          <w:trHeight w:val="94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2 02 04066 02 0000 151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мероприятий по профилактике ВИЧ-инфекции и гепатитов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С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1 536,9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2 07 02030 02 0000 180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7 950,0</w:t>
            </w:r>
          </w:p>
        </w:tc>
      </w:tr>
      <w:tr w:rsidR="004B1C12" w:rsidTr="004B1C12">
        <w:trPr>
          <w:trHeight w:val="3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4B1C12" w:rsidTr="004B1C12">
        <w:trPr>
          <w:trHeight w:val="135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4B1C12" w:rsidTr="004B1C12">
        <w:trPr>
          <w:trHeight w:val="99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1 08 07300 01 0000 110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государственные пошлины за совершение прочих юридически значимых действий, подлежащие зачислению в бюджет субъекта Российской Федерации                  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4B1C12" w:rsidTr="004B1C12">
        <w:trPr>
          <w:trHeight w:val="97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4B1C12" w:rsidTr="004B1C12">
        <w:trPr>
          <w:trHeight w:val="31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Министерство культуры Республики Карелия  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1 720,0</w:t>
            </w:r>
          </w:p>
        </w:tc>
      </w:tr>
      <w:tr w:rsidR="004B1C12" w:rsidTr="004B1C12">
        <w:trPr>
          <w:trHeight w:val="72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</w:tr>
      <w:tr w:rsidR="004B1C12" w:rsidTr="004B1C12">
        <w:trPr>
          <w:trHeight w:val="126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2 02 04025 02 0000 151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</w:tr>
      <w:tr w:rsidR="004B1C12" w:rsidTr="004B1C12">
        <w:trPr>
          <w:trHeight w:val="166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2 02 04041 02 0000 151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304,0</w:t>
            </w:r>
          </w:p>
        </w:tc>
      </w:tr>
      <w:tr w:rsidR="004B1C12" w:rsidTr="004B1C12">
        <w:trPr>
          <w:trHeight w:val="72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сельского, рыбного и охотничьего хозяйства Республики Карелия  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221 304,0</w:t>
            </w:r>
          </w:p>
        </w:tc>
      </w:tr>
      <w:tr w:rsidR="004B1C12" w:rsidTr="004B1C12">
        <w:trPr>
          <w:trHeight w:val="327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1 08 07142 01 0000 110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rPr>
                <w:sz w:val="24"/>
                <w:szCs w:val="24"/>
              </w:rPr>
              <w:t>мототранспортных</w:t>
            </w:r>
            <w:proofErr w:type="spellEnd"/>
            <w:r>
              <w:rPr>
                <w:sz w:val="24"/>
                <w:szCs w:val="24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rPr>
                <w:sz w:val="24"/>
                <w:szCs w:val="24"/>
              </w:rPr>
              <w:t xml:space="preserve"> или пришедших в негодность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</w:t>
            </w:r>
          </w:p>
        </w:tc>
      </w:tr>
      <w:tr w:rsidR="004B1C12" w:rsidTr="004B1C12">
        <w:trPr>
          <w:trHeight w:val="75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1 13 02062 02 0000 130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4B1C12" w:rsidTr="004B1C12">
        <w:trPr>
          <w:trHeight w:val="75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федеральных целевых программ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6 586,0</w:t>
            </w:r>
          </w:p>
        </w:tc>
      </w:tr>
      <w:tr w:rsidR="004B1C12" w:rsidTr="004B1C12">
        <w:trPr>
          <w:trHeight w:val="67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2 02 02174 02 0000 151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затрат на приобретение элитных семян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</w:t>
            </w:r>
          </w:p>
        </w:tc>
      </w:tr>
      <w:tr w:rsidR="004B1C12" w:rsidTr="004B1C12">
        <w:trPr>
          <w:trHeight w:val="105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2 02 02179 02 0000 151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14 917,1</w:t>
            </w:r>
          </w:p>
        </w:tc>
      </w:tr>
      <w:tr w:rsidR="004B1C12" w:rsidTr="004B1C12">
        <w:trPr>
          <w:trHeight w:val="126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803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2 02 02181 02 0000 151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4B1C12" w:rsidTr="004B1C12">
        <w:trPr>
          <w:trHeight w:val="139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2 02 02182 02 0000 151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4B1C12" w:rsidTr="004B1C12">
        <w:trPr>
          <w:trHeight w:val="94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2 02 02184 02 0000 151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6 901,5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2 02 02185 02 0000 151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племенного животноводства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1 064,3</w:t>
            </w:r>
          </w:p>
        </w:tc>
      </w:tr>
      <w:tr w:rsidR="004B1C12" w:rsidTr="004B1C12">
        <w:trPr>
          <w:trHeight w:val="9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2 02 02186 02 0000 151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1 килограмм реализованного и (или) отгруженного на собственную переработку молока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57 696,0</w:t>
            </w:r>
          </w:p>
        </w:tc>
      </w:tr>
      <w:tr w:rsidR="004B1C12" w:rsidTr="004B1C12">
        <w:trPr>
          <w:trHeight w:val="307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2 02 02190 02 0000 151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14 000,0</w:t>
            </w:r>
          </w:p>
        </w:tc>
      </w:tr>
      <w:tr w:rsidR="004B1C12" w:rsidTr="004B1C12">
        <w:trPr>
          <w:trHeight w:val="129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2 02 02191 02 0000 151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47 000,0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2 02 02196 02 0000 151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начинающих фермеров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8 513,0</w:t>
            </w:r>
          </w:p>
        </w:tc>
      </w:tr>
      <w:tr w:rsidR="004B1C12" w:rsidTr="004B1C12">
        <w:trPr>
          <w:trHeight w:val="96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803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2 02 02198 02 0000 151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4B1C12" w:rsidTr="004B1C12">
        <w:trPr>
          <w:trHeight w:val="130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2 02 02225 02 0000 151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возмещение части сельскохозяйственным товаропроизводителям затрат на уплату процентов по кредитам, полученным в российских кредитных организациях, на развитие </w:t>
            </w:r>
            <w:proofErr w:type="spellStart"/>
            <w:r>
              <w:rPr>
                <w:sz w:val="24"/>
                <w:szCs w:val="24"/>
              </w:rPr>
              <w:t>аквакультуры</w:t>
            </w:r>
            <w:proofErr w:type="spellEnd"/>
            <w:r>
              <w:rPr>
                <w:sz w:val="24"/>
                <w:szCs w:val="24"/>
              </w:rPr>
              <w:t xml:space="preserve"> (рыбоводство)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11 624,2</w:t>
            </w:r>
          </w:p>
        </w:tc>
      </w:tr>
      <w:tr w:rsidR="004B1C12" w:rsidTr="004B1C12">
        <w:trPr>
          <w:trHeight w:val="132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2 02 02245 02 0000 151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оказание несвязанной поддержки </w:t>
            </w:r>
            <w:proofErr w:type="spellStart"/>
            <w:proofErr w:type="gramStart"/>
            <w:r>
              <w:rPr>
                <w:sz w:val="24"/>
                <w:szCs w:val="24"/>
              </w:rPr>
              <w:t>сельскохо</w:t>
            </w:r>
            <w:r w:rsidR="00D002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зяйственным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674,9</w:t>
            </w:r>
          </w:p>
        </w:tc>
      </w:tr>
      <w:tr w:rsidR="004B1C12" w:rsidTr="004B1C12">
        <w:trPr>
          <w:trHeight w:val="96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2 02 02249 02 0000 151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4B1C12" w:rsidTr="004B1C12">
        <w:trPr>
          <w:trHeight w:val="96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2 02 02250 02 0000 151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9 600,0</w:t>
            </w:r>
          </w:p>
        </w:tc>
      </w:tr>
      <w:tr w:rsidR="004B1C12" w:rsidTr="002F4412">
        <w:trPr>
          <w:trHeight w:val="642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2 02 02253 02 0000 151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переработку продукции растениеводства и животноводства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4B1C12" w:rsidTr="004B1C12">
        <w:trPr>
          <w:trHeight w:val="67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2 02 02258 02 0000 151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поддержку племенного крупного рогатого скота молочного направления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15 600,9</w:t>
            </w:r>
          </w:p>
        </w:tc>
      </w:tr>
      <w:tr w:rsidR="004B1C12" w:rsidTr="004B1C12">
        <w:trPr>
          <w:trHeight w:val="66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2 02 03121 02 0000 151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проведение Всероссийской сельскохозяйственной переписи в 2016 году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13 118,6</w:t>
            </w:r>
          </w:p>
        </w:tc>
      </w:tr>
      <w:tr w:rsidR="004B1C12" w:rsidTr="004B1C12">
        <w:trPr>
          <w:trHeight w:val="31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Министерство экономического развития Республики Карелия                  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71 217,0</w:t>
            </w:r>
          </w:p>
        </w:tc>
      </w:tr>
      <w:tr w:rsidR="004B1C12" w:rsidTr="004B1C12">
        <w:trPr>
          <w:trHeight w:val="12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804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4B1C12" w:rsidTr="004B1C12">
        <w:trPr>
          <w:trHeight w:val="94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2 02 02009 02 0000 151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71 182,0</w:t>
            </w:r>
          </w:p>
        </w:tc>
      </w:tr>
      <w:tr w:rsidR="004B1C12" w:rsidTr="004B1C12">
        <w:trPr>
          <w:trHeight w:val="31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финансов Республики Карелия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5 297 619,0</w:t>
            </w:r>
          </w:p>
        </w:tc>
      </w:tr>
      <w:tr w:rsidR="004B1C12" w:rsidTr="004B1C12">
        <w:trPr>
          <w:trHeight w:val="70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1 11 03020 02 0000 120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субъектов Российской Федерации                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12 100,0</w:t>
            </w:r>
          </w:p>
        </w:tc>
      </w:tr>
      <w:tr w:rsidR="004B1C12" w:rsidTr="004B1C12">
        <w:trPr>
          <w:trHeight w:val="61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2 02 01001 02 0000 151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5 014 887,2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2 02 01003 02 0000 151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178 219,3</w:t>
            </w:r>
          </w:p>
        </w:tc>
      </w:tr>
      <w:tr w:rsidR="004B1C12" w:rsidTr="004B1C12">
        <w:trPr>
          <w:trHeight w:val="97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2 02 03007 02 0000 151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577,8</w:t>
            </w:r>
          </w:p>
        </w:tc>
      </w:tr>
      <w:tr w:rsidR="004B1C12" w:rsidTr="004B1C12">
        <w:trPr>
          <w:trHeight w:val="94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2 02 03015 02 0000 151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12 569,8</w:t>
            </w:r>
          </w:p>
        </w:tc>
      </w:tr>
      <w:tr w:rsidR="004B1C12" w:rsidTr="004B1C12">
        <w:trPr>
          <w:trHeight w:val="31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2 02 03998 02 0000 151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79 264,9</w:t>
            </w:r>
          </w:p>
        </w:tc>
      </w:tr>
      <w:tr w:rsidR="004B1C12" w:rsidTr="004B1C12">
        <w:trPr>
          <w:trHeight w:val="72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286 110,0</w:t>
            </w:r>
          </w:p>
        </w:tc>
      </w:tr>
      <w:tr w:rsidR="004B1C12" w:rsidTr="004B1C12">
        <w:trPr>
          <w:trHeight w:val="127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806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B1C12" w:rsidTr="004B1C12">
        <w:trPr>
          <w:trHeight w:val="97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1 11 01020 02 0000 120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      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7 000,0</w:t>
            </w:r>
          </w:p>
        </w:tc>
      </w:tr>
      <w:tr w:rsidR="004B1C12" w:rsidTr="004B1C12">
        <w:trPr>
          <w:trHeight w:val="157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1 11 05022 02 0000 120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 автономных учреждений субъектов Российской Федерации)                  </w:t>
            </w:r>
            <w:proofErr w:type="gramEnd"/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22 000,0</w:t>
            </w:r>
          </w:p>
        </w:tc>
      </w:tr>
      <w:tr w:rsidR="004B1C12" w:rsidTr="004B1C12">
        <w:trPr>
          <w:trHeight w:val="157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1 11 05032 02 0000 120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государственной власти субъектов Российской Федерации и созданных ими учреждений (за исключением имущества бюджетных и  автономных учреждений субъектов Российской Федерации)                          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24 800,0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1 11 05072 02 0000 120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41 400,0</w:t>
            </w:r>
          </w:p>
        </w:tc>
      </w:tr>
      <w:tr w:rsidR="004B1C12" w:rsidTr="004B1C12">
        <w:trPr>
          <w:trHeight w:val="94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1 11 07012 02 0000 120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перечисления части прибыли,  остающейся после уплаты налогов и иных обязательных платежей государственных  унитарных предприятий субъектов Российской Федерации                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5 800,0</w:t>
            </w:r>
          </w:p>
        </w:tc>
      </w:tr>
      <w:tr w:rsidR="004B1C12" w:rsidTr="00D00224">
        <w:trPr>
          <w:trHeight w:val="1067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1 14 02023 02 0000 410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иного имущества,  находящегося в собственности субъектов Российской Федерации (за исключением   имущества бюджетных и автономных учреждений субъектов Российской Федерации, а также имущества государственных унитарных </w:t>
            </w:r>
            <w:r>
              <w:rPr>
                <w:sz w:val="24"/>
                <w:szCs w:val="24"/>
              </w:rPr>
              <w:lastRenderedPageBreak/>
              <w:t xml:space="preserve">предприятий субъектов Российской Федерации, в том числе казенных), в части реализации основных средств по указанному имуществу                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184 100,0</w:t>
            </w:r>
          </w:p>
        </w:tc>
      </w:tr>
      <w:tr w:rsidR="004B1C12" w:rsidTr="004B1C12">
        <w:trPr>
          <w:trHeight w:val="126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1 14 06022 02 0000 430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земельных участков,  находящихся в собственности субъектов  Российской Федерации (за исключением земельных участков бюджетных и автономных учреждений субъектов Российской  Федерации)                          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Государственный комитет Республики Карелия по обеспечению жизнедеятельности и безопасности населения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1 100,0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4B1C12" w:rsidTr="004B1C12">
        <w:trPr>
          <w:trHeight w:val="97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773 821,7</w:t>
            </w:r>
          </w:p>
        </w:tc>
      </w:tr>
      <w:tr w:rsidR="004B1C12" w:rsidTr="004B1C12">
        <w:trPr>
          <w:trHeight w:val="96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2 02 03077 02 0000 151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11 172,1</w:t>
            </w:r>
          </w:p>
        </w:tc>
      </w:tr>
      <w:tr w:rsidR="004B1C12" w:rsidTr="004B1C12">
        <w:trPr>
          <w:trHeight w:val="139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2 03 02040 02 0000 180</w:t>
            </w:r>
          </w:p>
        </w:tc>
        <w:tc>
          <w:tcPr>
            <w:tcW w:w="4113" w:type="dxa"/>
            <w:vAlign w:val="center"/>
            <w:hideMark/>
          </w:tcPr>
          <w:p w:rsidR="004B1C12" w:rsidRDefault="004B1C12" w:rsidP="00D00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бюджеты субъектов Российской Федерации от государственной корпорации </w:t>
            </w:r>
            <w:r w:rsidR="00D0022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552 924,3</w:t>
            </w:r>
          </w:p>
        </w:tc>
      </w:tr>
      <w:tr w:rsidR="004B1C12" w:rsidTr="00D00224">
        <w:trPr>
          <w:trHeight w:val="1634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2 04 02040 02 0000 180</w:t>
            </w:r>
          </w:p>
        </w:tc>
        <w:tc>
          <w:tcPr>
            <w:tcW w:w="4113" w:type="dxa"/>
            <w:vAlign w:val="bottom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 от некоммерческой организации «Фонд развития моногородов» в бюджеты субъектов Российской Федерации на строительство и (или) реконструкцию объектов инфраструктуры, находящихся в государственной (муниципальной) </w:t>
            </w:r>
            <w:r>
              <w:rPr>
                <w:sz w:val="24"/>
                <w:szCs w:val="24"/>
              </w:rPr>
              <w:lastRenderedPageBreak/>
              <w:t>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209 725,3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vAlign w:val="center"/>
            <w:hideMark/>
          </w:tcPr>
          <w:p w:rsidR="004B1C12" w:rsidRDefault="004B1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812</w:t>
            </w:r>
          </w:p>
        </w:tc>
        <w:tc>
          <w:tcPr>
            <w:tcW w:w="2620" w:type="dxa"/>
            <w:vAlign w:val="center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vAlign w:val="center"/>
            <w:hideMark/>
          </w:tcPr>
          <w:p w:rsidR="004B1C12" w:rsidRDefault="004B1C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4B1C12" w:rsidTr="004B1C12">
        <w:trPr>
          <w:trHeight w:val="166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1 16 02030 02 0000 140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B1C12" w:rsidTr="004B1C12">
        <w:trPr>
          <w:trHeight w:val="78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7 202,7</w:t>
            </w:r>
          </w:p>
        </w:tc>
      </w:tr>
      <w:tr w:rsidR="004B1C12" w:rsidTr="004B1C12">
        <w:trPr>
          <w:trHeight w:val="135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2 02 02133 02 0000 151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6 138,2</w:t>
            </w:r>
          </w:p>
        </w:tc>
      </w:tr>
      <w:tr w:rsidR="004B1C12" w:rsidTr="002F4412">
        <w:trPr>
          <w:trHeight w:val="358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2 02 02220 02 0000 151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1 064,5</w:t>
            </w:r>
          </w:p>
        </w:tc>
      </w:tr>
      <w:tr w:rsidR="004B1C12" w:rsidTr="004B1C12">
        <w:trPr>
          <w:trHeight w:val="36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10 386,0</w:t>
            </w:r>
          </w:p>
        </w:tc>
      </w:tr>
      <w:tr w:rsidR="004B1C12" w:rsidTr="004B1C12">
        <w:trPr>
          <w:trHeight w:val="66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1 13 02062 02 0000 130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1 730,0</w:t>
            </w:r>
          </w:p>
        </w:tc>
      </w:tr>
      <w:tr w:rsidR="004B1C12" w:rsidTr="004B1C12">
        <w:trPr>
          <w:trHeight w:val="94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2 02 04001 02 0000 151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содержание депутатов Государственной Думы и их помощников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6 000,0</w:t>
            </w:r>
          </w:p>
        </w:tc>
      </w:tr>
      <w:tr w:rsidR="004B1C12" w:rsidTr="00D00224">
        <w:trPr>
          <w:trHeight w:val="358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2 02 04002 02 0000 151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содержание членов Совета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и их помощников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2 656,0</w:t>
            </w:r>
          </w:p>
        </w:tc>
      </w:tr>
      <w:tr w:rsidR="004B1C12" w:rsidTr="004B1C12">
        <w:trPr>
          <w:trHeight w:val="3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820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Законодательное Собрание Республики Карелия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3 055,5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1 240,0</w:t>
            </w:r>
          </w:p>
        </w:tc>
      </w:tr>
      <w:tr w:rsidR="004B1C12" w:rsidTr="004B1C12">
        <w:trPr>
          <w:trHeight w:val="9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2 02 04002 02 0000 151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1 815,5</w:t>
            </w:r>
          </w:p>
        </w:tc>
      </w:tr>
      <w:tr w:rsidR="004B1C12" w:rsidTr="004B1C12">
        <w:trPr>
          <w:trHeight w:val="3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труда и занятости Республики Карелия                          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324 877,2</w:t>
            </w:r>
          </w:p>
        </w:tc>
      </w:tr>
      <w:tr w:rsidR="004B1C12" w:rsidTr="004B1C12">
        <w:trPr>
          <w:trHeight w:val="94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2 02 03025 02 0000 151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324 877,2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по природопользованию и экологии Республики Карелия                        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1 112 744,7</w:t>
            </w:r>
          </w:p>
        </w:tc>
      </w:tr>
      <w:tr w:rsidR="004B1C12" w:rsidTr="004B1C12">
        <w:trPr>
          <w:trHeight w:val="874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4B1C12" w:rsidTr="004B1C12">
        <w:trPr>
          <w:trHeight w:val="157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1 08 07262 01 0000 110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4B1C12" w:rsidTr="004B1C12">
        <w:trPr>
          <w:trHeight w:val="126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1 12 02012 01 0000 120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4 183,0</w:t>
            </w:r>
          </w:p>
        </w:tc>
      </w:tr>
      <w:tr w:rsidR="004B1C12" w:rsidTr="00D00224">
        <w:trPr>
          <w:trHeight w:val="642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1 12 02052 01 0000 120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</w:t>
            </w:r>
            <w:r>
              <w:rPr>
                <w:sz w:val="24"/>
                <w:szCs w:val="24"/>
              </w:rPr>
              <w:lastRenderedPageBreak/>
              <w:t>пользование участках недр местного значения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500,0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825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1 12 02102 02 0000 120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4B1C12" w:rsidTr="004B1C12">
        <w:trPr>
          <w:trHeight w:val="100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1 12 04013 02 0000 120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715,0</w:t>
            </w:r>
          </w:p>
        </w:tc>
      </w:tr>
      <w:tr w:rsidR="004B1C12" w:rsidTr="004B1C12">
        <w:trPr>
          <w:trHeight w:val="64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1 12 04014 02 0000 120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492 955,0</w:t>
            </w:r>
          </w:p>
        </w:tc>
      </w:tr>
      <w:tr w:rsidR="004B1C12" w:rsidTr="004B1C12">
        <w:trPr>
          <w:trHeight w:val="94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1 12 04015 02 0000 120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использование лесов, расположенных на землях лесного фонда, в части платы по договору купли-продажи лесных насаждений для собственных нужд     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15 665,0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4B1C12" w:rsidTr="004B1C12">
        <w:trPr>
          <w:trHeight w:val="133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1 16 25086 02 0000 140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4B1C12" w:rsidTr="004B1C12">
        <w:trPr>
          <w:trHeight w:val="94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4B1C12" w:rsidTr="004B1C12">
        <w:trPr>
          <w:trHeight w:val="76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2 02 02124 02 0000 151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приобретение специализированной </w:t>
            </w:r>
            <w:proofErr w:type="spellStart"/>
            <w:r>
              <w:rPr>
                <w:sz w:val="24"/>
                <w:szCs w:val="24"/>
              </w:rPr>
              <w:t>лесопожарной</w:t>
            </w:r>
            <w:proofErr w:type="spellEnd"/>
            <w:r>
              <w:rPr>
                <w:sz w:val="24"/>
                <w:szCs w:val="24"/>
              </w:rPr>
              <w:t xml:space="preserve"> техники и оборудования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14 292,3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2 02 03018 02 0000 151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на осуществление отдельных полномочий в области лесных отношений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574 262,3</w:t>
            </w:r>
          </w:p>
        </w:tc>
      </w:tr>
      <w:tr w:rsidR="004B1C12" w:rsidTr="004B1C12">
        <w:trPr>
          <w:trHeight w:val="63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2 02 03019 02 0000 151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на осуществление отдельных </w:t>
            </w:r>
            <w:r>
              <w:rPr>
                <w:sz w:val="24"/>
                <w:szCs w:val="24"/>
              </w:rPr>
              <w:lastRenderedPageBreak/>
              <w:t>полномочий в области водных отношений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8 567,1</w:t>
            </w:r>
          </w:p>
        </w:tc>
      </w:tr>
      <w:tr w:rsidR="004B1C12" w:rsidTr="004B1C12">
        <w:trPr>
          <w:trHeight w:val="31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826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Государственный комитет Республики Карелия по транспорту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313 224,9</w:t>
            </w:r>
          </w:p>
        </w:tc>
      </w:tr>
      <w:tr w:rsidR="004B1C12" w:rsidTr="004B1C12">
        <w:trPr>
          <w:trHeight w:val="169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1 08 07172 01 0000 110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 грузов, зачисляемая в бюджеты субъектов Российской Федерации                  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</w:tr>
      <w:tr w:rsidR="004B1C12" w:rsidTr="004B1C12">
        <w:trPr>
          <w:trHeight w:val="75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1 15 02020 02 0000 140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</w:tr>
      <w:tr w:rsidR="004B1C12" w:rsidTr="004B1C12">
        <w:trPr>
          <w:trHeight w:val="160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1 16 37020 02 0000 140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 (или) крупногабаритных грузов, зачисляемые в бюджеты субъектов Российской Федерации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</w:tr>
      <w:tr w:rsidR="004B1C12" w:rsidTr="004B1C12">
        <w:trPr>
          <w:trHeight w:val="132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2 02 04095 02 0000 151</w:t>
            </w:r>
          </w:p>
        </w:tc>
        <w:tc>
          <w:tcPr>
            <w:tcW w:w="4113" w:type="dxa"/>
            <w:vAlign w:val="bottom"/>
            <w:hideMark/>
          </w:tcPr>
          <w:p w:rsidR="004B1C12" w:rsidRDefault="004B1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308 724,9</w:t>
            </w:r>
          </w:p>
        </w:tc>
      </w:tr>
      <w:tr w:rsidR="004B1C12" w:rsidTr="004B1C12">
        <w:trPr>
          <w:trHeight w:val="435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4B1C12" w:rsidTr="004B1C12">
        <w:trPr>
          <w:trHeight w:val="135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1 08 07400 01 0000 110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B1C12" w:rsidTr="004B1C12">
        <w:trPr>
          <w:trHeight w:val="390"/>
        </w:trPr>
        <w:tc>
          <w:tcPr>
            <w:tcW w:w="1149" w:type="dxa"/>
            <w:hideMark/>
          </w:tcPr>
          <w:p w:rsidR="004B1C12" w:rsidRDefault="004B1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832</w:t>
            </w:r>
          </w:p>
        </w:tc>
        <w:tc>
          <w:tcPr>
            <w:tcW w:w="2620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4113" w:type="dxa"/>
            <w:vAlign w:val="center"/>
            <w:hideMark/>
          </w:tcPr>
          <w:p w:rsidR="004B1C12" w:rsidRDefault="004B1C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Государственный контрольный комитет Республики Карелия 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220,0</w:t>
            </w:r>
          </w:p>
        </w:tc>
      </w:tr>
      <w:tr w:rsidR="004B1C12" w:rsidTr="004B1C12">
        <w:trPr>
          <w:trHeight w:val="690"/>
        </w:trPr>
        <w:tc>
          <w:tcPr>
            <w:tcW w:w="1149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1 16 18020 02 0000 140</w:t>
            </w:r>
          </w:p>
        </w:tc>
        <w:tc>
          <w:tcPr>
            <w:tcW w:w="4113" w:type="dxa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нарушение бюджетного  законодательства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части бюджетов субъектов Российской Федерации)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B1C12" w:rsidTr="004B1C12">
        <w:trPr>
          <w:trHeight w:val="1305"/>
        </w:trPr>
        <w:tc>
          <w:tcPr>
            <w:tcW w:w="1149" w:type="dxa"/>
            <w:hideMark/>
          </w:tcPr>
          <w:p w:rsidR="004B1C12" w:rsidRDefault="004B1C12">
            <w:pPr>
              <w:rPr>
                <w:sz w:val="20"/>
              </w:rPr>
            </w:pPr>
          </w:p>
        </w:tc>
        <w:tc>
          <w:tcPr>
            <w:tcW w:w="2620" w:type="dxa"/>
            <w:hideMark/>
          </w:tcPr>
          <w:p w:rsidR="004B1C12" w:rsidRDefault="004B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4113" w:type="dxa"/>
            <w:vAlign w:val="center"/>
            <w:hideMark/>
          </w:tcPr>
          <w:p w:rsidR="004B1C12" w:rsidRDefault="004B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4B1C12" w:rsidTr="004B1C12">
        <w:trPr>
          <w:trHeight w:val="315"/>
        </w:trPr>
        <w:tc>
          <w:tcPr>
            <w:tcW w:w="7882" w:type="dxa"/>
            <w:gridSpan w:val="3"/>
            <w:noWrap/>
            <w:vAlign w:val="bottom"/>
            <w:hideMark/>
          </w:tcPr>
          <w:p w:rsidR="004B1C12" w:rsidRDefault="004B1C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0" w:type="dxa"/>
            <w:noWrap/>
            <w:hideMark/>
          </w:tcPr>
          <w:p w:rsidR="004B1C12" w:rsidRDefault="004B1C12" w:rsidP="002F4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29 380 712,0</w:t>
            </w:r>
          </w:p>
        </w:tc>
      </w:tr>
    </w:tbl>
    <w:p w:rsidR="00D00224" w:rsidRDefault="00D00224" w:rsidP="004B1C12">
      <w:pPr>
        <w:sectPr w:rsidR="00D0022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B1C12" w:rsidRPr="00D00224" w:rsidRDefault="004B1C12" w:rsidP="00D00224">
      <w:pPr>
        <w:pStyle w:val="ConsPlusNormal"/>
        <w:ind w:firstLine="5103"/>
        <w:rPr>
          <w:sz w:val="24"/>
          <w:szCs w:val="24"/>
        </w:rPr>
      </w:pPr>
      <w:r w:rsidRPr="00D00224">
        <w:rPr>
          <w:sz w:val="24"/>
          <w:szCs w:val="24"/>
        </w:rPr>
        <w:lastRenderedPageBreak/>
        <w:t>Приложение 2</w:t>
      </w:r>
    </w:p>
    <w:p w:rsidR="004B1C12" w:rsidRPr="00D00224" w:rsidRDefault="004B1C12" w:rsidP="00D00224">
      <w:pPr>
        <w:pStyle w:val="ConsPlusNormal"/>
        <w:ind w:firstLine="5103"/>
        <w:rPr>
          <w:sz w:val="24"/>
          <w:szCs w:val="24"/>
        </w:rPr>
      </w:pPr>
      <w:r w:rsidRPr="00D00224">
        <w:rPr>
          <w:sz w:val="24"/>
          <w:szCs w:val="24"/>
        </w:rPr>
        <w:t>к распоряжению</w:t>
      </w:r>
    </w:p>
    <w:p w:rsidR="004B1C12" w:rsidRPr="00D00224" w:rsidRDefault="004B1C12" w:rsidP="00D00224">
      <w:pPr>
        <w:pStyle w:val="ConsPlusNormal"/>
        <w:ind w:firstLine="5103"/>
        <w:rPr>
          <w:sz w:val="24"/>
          <w:szCs w:val="24"/>
        </w:rPr>
      </w:pPr>
      <w:r w:rsidRPr="00D00224">
        <w:rPr>
          <w:sz w:val="24"/>
          <w:szCs w:val="24"/>
        </w:rPr>
        <w:t>Правительства Республики Карелия</w:t>
      </w:r>
    </w:p>
    <w:p w:rsidR="004B1C12" w:rsidRPr="00D00224" w:rsidRDefault="004B1C12" w:rsidP="00D00224">
      <w:pPr>
        <w:pStyle w:val="ConsPlusNormal"/>
        <w:ind w:firstLine="5103"/>
        <w:rPr>
          <w:sz w:val="24"/>
          <w:szCs w:val="24"/>
        </w:rPr>
      </w:pPr>
      <w:r w:rsidRPr="00D00224">
        <w:rPr>
          <w:sz w:val="24"/>
          <w:szCs w:val="24"/>
        </w:rPr>
        <w:t xml:space="preserve">от </w:t>
      </w:r>
      <w:r w:rsidR="000C7EF4">
        <w:rPr>
          <w:sz w:val="24"/>
          <w:szCs w:val="24"/>
        </w:rPr>
        <w:t>31 декабря 2015 года № 840р-П</w:t>
      </w:r>
      <w:r w:rsidRPr="00D00224">
        <w:rPr>
          <w:sz w:val="24"/>
          <w:szCs w:val="24"/>
        </w:rPr>
        <w:t xml:space="preserve">    </w:t>
      </w:r>
    </w:p>
    <w:p w:rsidR="004B1C12" w:rsidRPr="00D00224" w:rsidRDefault="004B1C12" w:rsidP="00D00224">
      <w:pPr>
        <w:pStyle w:val="ConsPlusNormal"/>
        <w:ind w:firstLine="540"/>
        <w:rPr>
          <w:sz w:val="24"/>
          <w:szCs w:val="24"/>
        </w:rPr>
      </w:pPr>
    </w:p>
    <w:p w:rsidR="004B1C12" w:rsidRPr="00D00224" w:rsidRDefault="004B1C12" w:rsidP="004B1C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34"/>
      <w:bookmarkEnd w:id="3"/>
      <w:r w:rsidRPr="00D00224">
        <w:rPr>
          <w:rFonts w:ascii="Times New Roman" w:hAnsi="Times New Roman" w:cs="Times New Roman"/>
          <w:sz w:val="24"/>
          <w:szCs w:val="24"/>
        </w:rPr>
        <w:t>МИНИМАЛЬНЫЕ ЦЕЛЕВЫЕ ЗНАЧЕНИЯ</w:t>
      </w:r>
    </w:p>
    <w:p w:rsidR="004B1C12" w:rsidRPr="00D00224" w:rsidRDefault="004B1C12" w:rsidP="004B1C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224">
        <w:rPr>
          <w:rFonts w:ascii="Times New Roman" w:hAnsi="Times New Roman" w:cs="Times New Roman"/>
          <w:sz w:val="24"/>
          <w:szCs w:val="24"/>
        </w:rPr>
        <w:t>СРЕДНЕЙ ЗАРАБОТНОЙ ПЛАТЫ РАБОТНИКОВ МУНИЦИПАЛЬНЫХ</w:t>
      </w:r>
    </w:p>
    <w:p w:rsidR="004B1C12" w:rsidRPr="00D00224" w:rsidRDefault="004B1C12" w:rsidP="004B1C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224">
        <w:rPr>
          <w:rFonts w:ascii="Times New Roman" w:hAnsi="Times New Roman" w:cs="Times New Roman"/>
          <w:sz w:val="24"/>
          <w:szCs w:val="24"/>
        </w:rPr>
        <w:t>УЧРЕЖДЕНИЙ</w:t>
      </w:r>
    </w:p>
    <w:p w:rsidR="004B1C12" w:rsidRDefault="004B1C12" w:rsidP="004B1C12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7"/>
        <w:gridCol w:w="2269"/>
      </w:tblGrid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  <w:jc w:val="center"/>
            </w:pPr>
            <w:r>
              <w:t>Наименование категории работников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  <w:rPr>
                <w:sz w:val="22"/>
              </w:rPr>
            </w:pPr>
            <w:r>
              <w:t>Минимальные целевые значения средней заработной платы,</w:t>
            </w:r>
          </w:p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 xml:space="preserve">рублей </w:t>
            </w:r>
            <w:r w:rsidRPr="00D00224">
              <w:t>*</w:t>
            </w:r>
          </w:p>
        </w:tc>
      </w:tr>
      <w:tr w:rsidR="004B1C12" w:rsidTr="00D00224">
        <w:trPr>
          <w:trHeight w:val="133"/>
          <w:tblHeader/>
        </w:trPr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2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Педагогические работники общеобразовательных организаций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27 763,9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34 631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28 335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III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25 974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Педагогические работники дошкольных образовательных организаций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23 121,3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29 205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23 895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III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21 904</w:t>
            </w:r>
          </w:p>
        </w:tc>
      </w:tr>
      <w:tr w:rsidR="004B1C12" w:rsidTr="00D00224">
        <w:trPr>
          <w:trHeight w:val="300"/>
        </w:trPr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Педагогические работники организаций дополнительного образования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 xml:space="preserve">22 211,1 </w:t>
            </w:r>
            <w:r w:rsidRPr="00D00224">
              <w:t>**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28 092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22 984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III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21 069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Педагогические работники образовательных, медицинских организаций или организаций,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24 987,5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29 560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24 185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III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22 170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Педагогические работники, работающие с детьми из социально неблагополучных семей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23 785,3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29 213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23 902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III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21 910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Работники муниципальных учреждений культуры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17 963,2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21 795</w:t>
            </w:r>
          </w:p>
        </w:tc>
      </w:tr>
      <w:tr w:rsidR="00D00224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24" w:rsidRDefault="00D00224" w:rsidP="00D0022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24" w:rsidRDefault="00D00224" w:rsidP="00D00224">
            <w:pPr>
              <w:pStyle w:val="ConsPlusNormal"/>
              <w:ind w:firstLine="0"/>
              <w:jc w:val="center"/>
            </w:pPr>
            <w:r>
              <w:t>2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17 832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III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16 346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Социальные работники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16 103,1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19 778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16 182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III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14 833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Средний медицинский персонал, работающий в учреждениях социального обслуживания</w:t>
            </w:r>
            <w:bookmarkStart w:id="4" w:name="_GoBack"/>
            <w:bookmarkEnd w:id="4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18 574,0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22 813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18 665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III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17 109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Младший медицинский персонал, работающий в учреждениях социального обслуживания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14 159,6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17 391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14 229</w:t>
            </w:r>
          </w:p>
        </w:tc>
      </w:tr>
      <w:tr w:rsidR="004B1C12" w:rsidTr="00D0022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2" w:rsidRDefault="004B1C12">
            <w:pPr>
              <w:pStyle w:val="ConsPlusNormal"/>
            </w:pPr>
            <w:r>
              <w:t>III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2" w:rsidRDefault="004B1C12" w:rsidP="00D00224">
            <w:pPr>
              <w:pStyle w:val="ConsPlusNormal"/>
              <w:ind w:firstLine="0"/>
              <w:jc w:val="center"/>
            </w:pPr>
            <w:r>
              <w:t>13 043</w:t>
            </w:r>
          </w:p>
        </w:tc>
      </w:tr>
    </w:tbl>
    <w:p w:rsidR="004B1C12" w:rsidRDefault="004B1C12" w:rsidP="004B1C12">
      <w:pPr>
        <w:pStyle w:val="ConsPlusNormal"/>
        <w:ind w:firstLine="540"/>
        <w:jc w:val="both"/>
        <w:rPr>
          <w:sz w:val="22"/>
        </w:rPr>
      </w:pPr>
    </w:p>
    <w:p w:rsidR="004B1C12" w:rsidRDefault="00D00224" w:rsidP="004B1C12">
      <w:pPr>
        <w:pStyle w:val="ConsPlusNormal"/>
        <w:ind w:firstLine="540"/>
        <w:jc w:val="both"/>
      </w:pPr>
      <w:r>
        <w:t>__________________________</w:t>
      </w:r>
    </w:p>
    <w:p w:rsidR="004B1C12" w:rsidRDefault="00D00224" w:rsidP="004B1C12">
      <w:pPr>
        <w:pStyle w:val="ConsPlusNormal"/>
        <w:ind w:firstLine="540"/>
        <w:jc w:val="both"/>
      </w:pPr>
      <w:bookmarkStart w:id="5" w:name="P1656"/>
      <w:bookmarkEnd w:id="5"/>
      <w:r>
        <w:t>*</w:t>
      </w:r>
      <w:r w:rsidR="004B1C12">
        <w:t xml:space="preserve"> Группы с учетом дифференциации по уровню районного коэффициента и процентной надбавки за работу в районах Крайнего Севера и приравненных к ним местностях:</w:t>
      </w:r>
    </w:p>
    <w:p w:rsidR="004B1C12" w:rsidRDefault="004B1C12" w:rsidP="004B1C12">
      <w:pPr>
        <w:pStyle w:val="ConsPlusNormal"/>
        <w:ind w:firstLine="540"/>
        <w:jc w:val="both"/>
      </w:pPr>
      <w:r>
        <w:t xml:space="preserve">I группа: муниципальные учреждения, расположенные на территориях </w:t>
      </w:r>
      <w:proofErr w:type="spellStart"/>
      <w:r>
        <w:t>Костомукшского</w:t>
      </w:r>
      <w:proofErr w:type="spellEnd"/>
      <w:r>
        <w:t xml:space="preserve"> городского округа, Беломорского, </w:t>
      </w:r>
      <w:proofErr w:type="spellStart"/>
      <w:r>
        <w:t>Калевальского</w:t>
      </w:r>
      <w:proofErr w:type="spellEnd"/>
      <w:r>
        <w:t xml:space="preserve">, </w:t>
      </w:r>
      <w:proofErr w:type="spellStart"/>
      <w:r>
        <w:t>Кемского</w:t>
      </w:r>
      <w:proofErr w:type="spellEnd"/>
      <w:r>
        <w:t xml:space="preserve">, </w:t>
      </w:r>
      <w:proofErr w:type="spellStart"/>
      <w:r>
        <w:t>Лоухского</w:t>
      </w:r>
      <w:proofErr w:type="spellEnd"/>
      <w:r>
        <w:t xml:space="preserve"> муниципальных районов;</w:t>
      </w:r>
    </w:p>
    <w:p w:rsidR="004B1C12" w:rsidRDefault="004B1C12" w:rsidP="004B1C12">
      <w:pPr>
        <w:pStyle w:val="ConsPlusNormal"/>
        <w:ind w:firstLine="540"/>
        <w:jc w:val="both"/>
      </w:pPr>
      <w:r>
        <w:t xml:space="preserve">II группа: муниципальные учреждения, расположенные на территориях Медвежьегорского, Муезерского, </w:t>
      </w:r>
      <w:proofErr w:type="spellStart"/>
      <w:r>
        <w:t>Пудожского</w:t>
      </w:r>
      <w:proofErr w:type="spellEnd"/>
      <w:r>
        <w:t xml:space="preserve">, </w:t>
      </w:r>
      <w:proofErr w:type="spellStart"/>
      <w:r>
        <w:t>Сегежского</w:t>
      </w:r>
      <w:proofErr w:type="spellEnd"/>
      <w:r>
        <w:t xml:space="preserve"> муниципальных районов;</w:t>
      </w:r>
    </w:p>
    <w:p w:rsidR="004B1C12" w:rsidRDefault="004B1C12" w:rsidP="004B1C12">
      <w:pPr>
        <w:pStyle w:val="ConsPlusNormal"/>
        <w:ind w:firstLine="540"/>
        <w:jc w:val="both"/>
      </w:pPr>
      <w:r>
        <w:t xml:space="preserve">III группа: муниципальные учреждения, расположенные на территориях Петрозаводского городского округа, </w:t>
      </w:r>
      <w:proofErr w:type="spellStart"/>
      <w:r>
        <w:t>Кондопожского</w:t>
      </w:r>
      <w:proofErr w:type="spellEnd"/>
      <w:r>
        <w:t xml:space="preserve">, </w:t>
      </w:r>
      <w:proofErr w:type="spellStart"/>
      <w:r>
        <w:t>Лахденпохского</w:t>
      </w:r>
      <w:proofErr w:type="spellEnd"/>
      <w:r>
        <w:t xml:space="preserve">, </w:t>
      </w:r>
      <w:proofErr w:type="spellStart"/>
      <w:r>
        <w:t>Олонецкого</w:t>
      </w:r>
      <w:proofErr w:type="spellEnd"/>
      <w:r>
        <w:t xml:space="preserve">, </w:t>
      </w:r>
      <w:proofErr w:type="spellStart"/>
      <w:r>
        <w:t>Питкярантского</w:t>
      </w:r>
      <w:proofErr w:type="spellEnd"/>
      <w:r>
        <w:t xml:space="preserve">, </w:t>
      </w:r>
      <w:proofErr w:type="spellStart"/>
      <w:r>
        <w:t>Прионежского</w:t>
      </w:r>
      <w:proofErr w:type="spellEnd"/>
      <w:r>
        <w:t xml:space="preserve">, </w:t>
      </w:r>
      <w:proofErr w:type="spellStart"/>
      <w:r>
        <w:t>Пряжинского</w:t>
      </w:r>
      <w:proofErr w:type="spellEnd"/>
      <w:r>
        <w:t xml:space="preserve">, Сортавальского, </w:t>
      </w:r>
      <w:proofErr w:type="spellStart"/>
      <w:r>
        <w:t>Суоярвского</w:t>
      </w:r>
      <w:proofErr w:type="spellEnd"/>
      <w:r>
        <w:t xml:space="preserve"> муниципальных районов.</w:t>
      </w:r>
    </w:p>
    <w:p w:rsidR="004B1C12" w:rsidRDefault="00D00224" w:rsidP="004B1C12">
      <w:pPr>
        <w:pStyle w:val="ConsPlusNormal"/>
        <w:ind w:firstLine="540"/>
        <w:jc w:val="both"/>
      </w:pPr>
      <w:bookmarkStart w:id="6" w:name="P1660"/>
      <w:bookmarkStart w:id="7" w:name="P1662"/>
      <w:bookmarkEnd w:id="6"/>
      <w:bookmarkEnd w:id="7"/>
      <w:r>
        <w:t>**</w:t>
      </w:r>
      <w:r w:rsidR="004B1C12">
        <w:t xml:space="preserve"> </w:t>
      </w:r>
      <w:hyperlink r:id="rId11" w:history="1">
        <w:r w:rsidR="004B1C12" w:rsidRPr="00D00224">
          <w:rPr>
            <w:rStyle w:val="af7"/>
            <w:color w:val="auto"/>
            <w:u w:val="none"/>
          </w:rPr>
          <w:t>Указом</w:t>
        </w:r>
      </w:hyperlink>
      <w:r w:rsidR="004B1C12" w:rsidRPr="00D00224">
        <w:t xml:space="preserve"> </w:t>
      </w:r>
      <w:r w:rsidR="004B1C12">
        <w:t>Президента Российской Федер</w:t>
      </w:r>
      <w:r>
        <w:t xml:space="preserve">ации от 1 июня 2012 года </w:t>
      </w:r>
      <w:r w:rsidR="002144B8">
        <w:t>№</w:t>
      </w:r>
      <w:r>
        <w:t xml:space="preserve"> 761 «</w:t>
      </w:r>
      <w:r w:rsidR="004B1C12">
        <w:t>О Национальной стратегии действий в интересах детей на 2012-2017 годы</w:t>
      </w:r>
      <w:r>
        <w:t>»</w:t>
      </w:r>
      <w:r w:rsidR="004B1C12">
        <w:t xml:space="preserve"> предусмотрено доведение оплаты труда указанной категории педагогических работников до уровня не ниже среднего для учителей в регионе. Целевым значением уровня средней заработной платы педагогических работников (в том числе учителей) общеобразовательных организаций в регионе согласно </w:t>
      </w:r>
      <w:hyperlink r:id="rId12" w:history="1">
        <w:r w:rsidR="004B1C12" w:rsidRPr="00D00224">
          <w:rPr>
            <w:rStyle w:val="af7"/>
            <w:color w:val="auto"/>
            <w:u w:val="none"/>
          </w:rPr>
          <w:t>Указу</w:t>
        </w:r>
      </w:hyperlink>
      <w:r w:rsidR="004B1C12">
        <w:t xml:space="preserve"> Президента Российской Феде</w:t>
      </w:r>
      <w:r>
        <w:t xml:space="preserve">рации от 7 мая 2012 года </w:t>
      </w:r>
      <w:r w:rsidR="002144B8">
        <w:t>№</w:t>
      </w:r>
      <w:r>
        <w:t xml:space="preserve"> 597 «</w:t>
      </w:r>
      <w:r w:rsidR="004B1C12">
        <w:t>О мероприятиях по реализации государственной социальной политики</w:t>
      </w:r>
      <w:r>
        <w:t>»</w:t>
      </w:r>
      <w:r w:rsidR="004B1C12">
        <w:t xml:space="preserve"> является средняя заработная плата в соответствующем регионе.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sectPr w:rsidR="00433A75" w:rsidSect="007212DB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C12" w:rsidRDefault="004B1C12">
      <w:r>
        <w:separator/>
      </w:r>
    </w:p>
  </w:endnote>
  <w:endnote w:type="continuationSeparator" w:id="0">
    <w:p w:rsidR="004B1C12" w:rsidRDefault="004B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12" w:rsidRDefault="009A6B8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1C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1C12" w:rsidRDefault="004B1C12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12" w:rsidRDefault="004B1C12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C12" w:rsidRDefault="004B1C12">
      <w:r>
        <w:separator/>
      </w:r>
    </w:p>
  </w:footnote>
  <w:footnote w:type="continuationSeparator" w:id="0">
    <w:p w:rsidR="004B1C12" w:rsidRDefault="004B1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811844"/>
      <w:docPartObj>
        <w:docPartGallery w:val="Page Numbers (Top of Page)"/>
        <w:docPartUnique/>
      </w:docPartObj>
    </w:sdtPr>
    <w:sdtContent>
      <w:p w:rsidR="004B1C12" w:rsidRDefault="009A6B8C">
        <w:pPr>
          <w:pStyle w:val="a6"/>
          <w:jc w:val="center"/>
        </w:pPr>
        <w:r>
          <w:fldChar w:fldCharType="begin"/>
        </w:r>
        <w:r w:rsidR="004B1C12">
          <w:instrText>PAGE   \* MERGEFORMAT</w:instrText>
        </w:r>
        <w:r>
          <w:fldChar w:fldCharType="separate"/>
        </w:r>
        <w:r w:rsidR="000C7EF4">
          <w:rPr>
            <w:noProof/>
          </w:rPr>
          <w:t>2</w:t>
        </w:r>
        <w:r>
          <w:fldChar w:fldCharType="end"/>
        </w:r>
      </w:p>
    </w:sdtContent>
  </w:sdt>
  <w:p w:rsidR="004B1C12" w:rsidRDefault="004B1C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4B1C12" w:rsidRDefault="009A6B8C">
        <w:pPr>
          <w:pStyle w:val="a6"/>
          <w:jc w:val="center"/>
        </w:pPr>
        <w:r>
          <w:fldChar w:fldCharType="begin"/>
        </w:r>
        <w:r w:rsidR="004B1C12">
          <w:instrText>PAGE   \* MERGEFORMAT</w:instrText>
        </w:r>
        <w:r>
          <w:fldChar w:fldCharType="separate"/>
        </w:r>
        <w:r w:rsidR="000C7EF4">
          <w:rPr>
            <w:noProof/>
          </w:rPr>
          <w:t>2</w:t>
        </w:r>
        <w:r>
          <w:fldChar w:fldCharType="end"/>
        </w:r>
      </w:p>
    </w:sdtContent>
  </w:sdt>
  <w:p w:rsidR="004B1C12" w:rsidRDefault="004B1C1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12" w:rsidRDefault="004B1C12">
    <w:pPr>
      <w:pStyle w:val="a6"/>
      <w:jc w:val="center"/>
    </w:pPr>
  </w:p>
  <w:p w:rsidR="004B1C12" w:rsidRDefault="004B1C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C7EF4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4B8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12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684C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1C12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A6B8C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022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5174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6D5392868C8230DC09BADEC83E8AA6607C486854615EA63113D8C938X6nF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6D5392868C8230DC09BADEC83E8AA6607D416E51635EA63113D8C9386F2A7D832EE3DEE2797869X2n1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86;%20&#1084;&#1077;&#1088;&#1072;&#1093;%20&#1087;&#1086;%20&#1080;&#1089;&#1087;&#1086;&#1083;&#1085;&#1077;&#1085;&#1080;&#1102;%20&#1073;&#1102;&#1076;&#1078;&#1077;&#1090;&#1072;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4A44-A16D-4230-9967-C30708F5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6909</Words>
  <Characters>48226</Characters>
  <Application>Microsoft Office Word</Application>
  <DocSecurity>0</DocSecurity>
  <Lines>401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2016-02-04T08:56:00Z</cp:lastPrinted>
  <dcterms:created xsi:type="dcterms:W3CDTF">2016-01-28T08:37:00Z</dcterms:created>
  <dcterms:modified xsi:type="dcterms:W3CDTF">2016-02-05T06:34:00Z</dcterms:modified>
</cp:coreProperties>
</file>