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8A57E9" w:rsidP="008A57E9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21 июня 2016 года № 223-П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47EBD" w:rsidRPr="00847EBD" w:rsidRDefault="00847EBD" w:rsidP="00847EBD">
      <w:pPr>
        <w:jc w:val="center"/>
        <w:rPr>
          <w:b/>
          <w:szCs w:val="28"/>
        </w:rPr>
      </w:pPr>
      <w:r>
        <w:rPr>
          <w:b/>
          <w:szCs w:val="28"/>
        </w:rPr>
        <w:t>О ландшафтном памятнике природы регионального значения «</w:t>
      </w:r>
      <w:proofErr w:type="spellStart"/>
      <w:r>
        <w:rPr>
          <w:b/>
          <w:szCs w:val="28"/>
        </w:rPr>
        <w:t>Варгачное-Корбозерское</w:t>
      </w:r>
      <w:proofErr w:type="spellEnd"/>
      <w:r>
        <w:rPr>
          <w:b/>
          <w:szCs w:val="28"/>
        </w:rPr>
        <w:t>»</w:t>
      </w:r>
    </w:p>
    <w:p w:rsidR="00847EBD" w:rsidRDefault="00847EBD" w:rsidP="00273AC7">
      <w:pPr>
        <w:tabs>
          <w:tab w:val="left" w:pos="993"/>
        </w:tabs>
        <w:ind w:firstLine="567"/>
        <w:jc w:val="both"/>
        <w:rPr>
          <w:color w:val="000000"/>
          <w:szCs w:val="28"/>
        </w:rPr>
      </w:pPr>
    </w:p>
    <w:p w:rsidR="00273AC7" w:rsidRDefault="00273AC7" w:rsidP="00273AC7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«Об особо охраняемых природных территориях», </w:t>
      </w:r>
      <w:r w:rsidR="00847EBD">
        <w:rPr>
          <w:color w:val="000000"/>
          <w:szCs w:val="28"/>
        </w:rPr>
        <w:t>Схемой</w:t>
      </w:r>
      <w:r>
        <w:rPr>
          <w:color w:val="000000"/>
          <w:szCs w:val="28"/>
        </w:rPr>
        <w:t xml:space="preserve"> территориального планирования Республики Карелия</w:t>
      </w:r>
      <w:r w:rsidR="00847EB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847EBD">
        <w:rPr>
          <w:color w:val="000000"/>
          <w:szCs w:val="28"/>
        </w:rPr>
        <w:t xml:space="preserve">утвержденной постановлением Правительства Республики Карелия от 6 июля 2007 года № 102-П, Правительство Республики Карелия </w:t>
      </w:r>
      <w:proofErr w:type="gramStart"/>
      <w:r>
        <w:rPr>
          <w:b/>
          <w:color w:val="000000"/>
          <w:szCs w:val="28"/>
        </w:rPr>
        <w:t>п</w:t>
      </w:r>
      <w:proofErr w:type="gramEnd"/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847E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т:</w:t>
      </w:r>
    </w:p>
    <w:p w:rsidR="00273AC7" w:rsidRDefault="00273AC7" w:rsidP="00273AC7">
      <w:pPr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Объявить природный комплекс озера </w:t>
      </w:r>
      <w:proofErr w:type="spellStart"/>
      <w:r>
        <w:rPr>
          <w:color w:val="000000"/>
          <w:szCs w:val="28"/>
        </w:rPr>
        <w:t>Варгачное-Корбозерское</w:t>
      </w:r>
      <w:proofErr w:type="spellEnd"/>
      <w:r>
        <w:rPr>
          <w:color w:val="000000"/>
          <w:szCs w:val="28"/>
        </w:rPr>
        <w:t xml:space="preserve">, расположенный на территории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муниципального района, ландшафтным памятником природы регионального значения «</w:t>
      </w:r>
      <w:proofErr w:type="spellStart"/>
      <w:r>
        <w:rPr>
          <w:color w:val="000000"/>
          <w:szCs w:val="28"/>
        </w:rPr>
        <w:t>Варгачное-Корбозерское</w:t>
      </w:r>
      <w:proofErr w:type="spellEnd"/>
      <w:r>
        <w:rPr>
          <w:color w:val="000000"/>
          <w:szCs w:val="28"/>
        </w:rPr>
        <w:t>», а территорию, заня</w:t>
      </w:r>
      <w:r w:rsidR="00847EBD">
        <w:rPr>
          <w:color w:val="000000"/>
          <w:szCs w:val="28"/>
        </w:rPr>
        <w:t>тую им в границах кварталов 155–157, 176–</w:t>
      </w:r>
      <w:r>
        <w:rPr>
          <w:color w:val="000000"/>
          <w:szCs w:val="28"/>
        </w:rPr>
        <w:t xml:space="preserve">178, 196, 197 </w:t>
      </w:r>
      <w:proofErr w:type="spellStart"/>
      <w:r>
        <w:rPr>
          <w:color w:val="000000"/>
          <w:szCs w:val="28"/>
        </w:rPr>
        <w:t>Водлинского</w:t>
      </w:r>
      <w:proofErr w:type="spellEnd"/>
      <w:r>
        <w:rPr>
          <w:color w:val="000000"/>
          <w:szCs w:val="28"/>
        </w:rPr>
        <w:t xml:space="preserve"> лесничества (по материалам лесоустройства) </w:t>
      </w:r>
      <w:proofErr w:type="spellStart"/>
      <w:r>
        <w:rPr>
          <w:color w:val="000000"/>
          <w:szCs w:val="28"/>
        </w:rPr>
        <w:t>Водлинского</w:t>
      </w:r>
      <w:proofErr w:type="spellEnd"/>
      <w:r>
        <w:rPr>
          <w:color w:val="000000"/>
          <w:szCs w:val="28"/>
        </w:rPr>
        <w:t xml:space="preserve"> участкового лесничества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лесничества, 12, 13 </w:t>
      </w:r>
      <w:proofErr w:type="spellStart"/>
      <w:r>
        <w:rPr>
          <w:color w:val="000000"/>
          <w:szCs w:val="28"/>
        </w:rPr>
        <w:t>Колодозерского</w:t>
      </w:r>
      <w:proofErr w:type="spellEnd"/>
      <w:r>
        <w:rPr>
          <w:color w:val="000000"/>
          <w:szCs w:val="28"/>
        </w:rPr>
        <w:t xml:space="preserve"> лесничества </w:t>
      </w:r>
      <w:r w:rsidR="00847EBD">
        <w:rPr>
          <w:color w:val="000000"/>
          <w:szCs w:val="28"/>
        </w:rPr>
        <w:t>(</w:t>
      </w:r>
      <w:r>
        <w:rPr>
          <w:color w:val="000000"/>
          <w:szCs w:val="28"/>
        </w:rPr>
        <w:t>по материалам лесоустройства</w:t>
      </w:r>
      <w:r w:rsidR="00847EB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Водлинского</w:t>
      </w:r>
      <w:proofErr w:type="spellEnd"/>
      <w:r>
        <w:rPr>
          <w:color w:val="000000"/>
          <w:szCs w:val="28"/>
        </w:rPr>
        <w:t xml:space="preserve"> участкового лесничества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лесничества</w:t>
      </w:r>
      <w:r w:rsidR="00847EB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общей площадью </w:t>
      </w:r>
      <w:r w:rsidR="00CE56EE">
        <w:rPr>
          <w:color w:val="000000"/>
          <w:szCs w:val="28"/>
        </w:rPr>
        <w:br/>
      </w:r>
      <w:r>
        <w:rPr>
          <w:color w:val="000000"/>
          <w:szCs w:val="28"/>
        </w:rPr>
        <w:t>1238,5 га, – особо охраняемой природной территорией регионального значения.</w:t>
      </w:r>
      <w:proofErr w:type="gramEnd"/>
    </w:p>
    <w:p w:rsidR="00273AC7" w:rsidRDefault="00273AC7" w:rsidP="00273AC7">
      <w:pPr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прилагаемое  Положение о ландшафтном памятнике природы регионального значения «</w:t>
      </w:r>
      <w:proofErr w:type="spellStart"/>
      <w:r>
        <w:rPr>
          <w:color w:val="000000"/>
          <w:szCs w:val="28"/>
        </w:rPr>
        <w:t>Варгачное-Корбозерское</w:t>
      </w:r>
      <w:proofErr w:type="spellEnd"/>
      <w:r>
        <w:rPr>
          <w:color w:val="000000"/>
          <w:szCs w:val="28"/>
        </w:rPr>
        <w:t>».</w:t>
      </w:r>
    </w:p>
    <w:p w:rsidR="00273AC7" w:rsidRDefault="00273AC7" w:rsidP="00273AC7">
      <w:pPr>
        <w:ind w:firstLine="225"/>
        <w:jc w:val="both"/>
        <w:rPr>
          <w:color w:val="000000"/>
          <w:szCs w:val="28"/>
        </w:rPr>
      </w:pPr>
    </w:p>
    <w:p w:rsidR="00847EBD" w:rsidRDefault="00847EBD" w:rsidP="00847EB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847EBD" w:rsidRDefault="00847EBD" w:rsidP="00847EB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73AC7" w:rsidRDefault="00273AC7" w:rsidP="00273AC7">
      <w:pPr>
        <w:ind w:firstLine="225"/>
        <w:jc w:val="both"/>
        <w:rPr>
          <w:color w:val="000000"/>
          <w:szCs w:val="28"/>
        </w:rPr>
      </w:pPr>
    </w:p>
    <w:p w:rsidR="00CE56EE" w:rsidRDefault="00CE56EE" w:rsidP="00273AC7">
      <w:pPr>
        <w:rPr>
          <w:color w:val="000000"/>
          <w:szCs w:val="28"/>
        </w:rPr>
        <w:sectPr w:rsidR="00CE56EE" w:rsidSect="000252C1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73AC7" w:rsidRDefault="00CE56EE" w:rsidP="00CE56EE">
      <w:pPr>
        <w:overflowPunct w:val="0"/>
        <w:autoSpaceDE w:val="0"/>
        <w:autoSpaceDN w:val="0"/>
        <w:adjustRightInd w:val="0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</w:t>
      </w:r>
      <w:r w:rsidR="00273AC7">
        <w:rPr>
          <w:color w:val="000000"/>
          <w:szCs w:val="28"/>
        </w:rPr>
        <w:t>тверждено</w:t>
      </w:r>
    </w:p>
    <w:p w:rsidR="00847EBD" w:rsidRDefault="000252C1" w:rsidP="00CE56EE">
      <w:pPr>
        <w:overflowPunct w:val="0"/>
        <w:autoSpaceDE w:val="0"/>
        <w:autoSpaceDN w:val="0"/>
        <w:adjustRightInd w:val="0"/>
        <w:ind w:firstLine="538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273AC7">
        <w:rPr>
          <w:color w:val="000000"/>
          <w:szCs w:val="28"/>
        </w:rPr>
        <w:t xml:space="preserve">остановлением Правительства </w:t>
      </w:r>
    </w:p>
    <w:p w:rsidR="00273AC7" w:rsidRDefault="00273AC7" w:rsidP="00CE56EE">
      <w:pPr>
        <w:overflowPunct w:val="0"/>
        <w:autoSpaceDE w:val="0"/>
        <w:autoSpaceDN w:val="0"/>
        <w:adjustRightInd w:val="0"/>
        <w:ind w:firstLine="5387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</w:t>
      </w:r>
    </w:p>
    <w:p w:rsidR="00273AC7" w:rsidRDefault="00273AC7" w:rsidP="00CE56EE">
      <w:pPr>
        <w:overflowPunct w:val="0"/>
        <w:autoSpaceDE w:val="0"/>
        <w:autoSpaceDN w:val="0"/>
        <w:adjustRightInd w:val="0"/>
        <w:ind w:firstLine="5387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A57E9">
        <w:rPr>
          <w:color w:val="000000"/>
          <w:szCs w:val="28"/>
        </w:rPr>
        <w:t>21 июня 2016 года № 223-П</w:t>
      </w:r>
      <w:bookmarkStart w:id="0" w:name="_GoBack"/>
      <w:bookmarkEnd w:id="0"/>
    </w:p>
    <w:p w:rsidR="00273AC7" w:rsidRDefault="00273AC7" w:rsidP="00273AC7">
      <w:pPr>
        <w:overflowPunct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4"/>
          <w:szCs w:val="28"/>
        </w:rPr>
      </w:pPr>
    </w:p>
    <w:p w:rsidR="00273AC7" w:rsidRDefault="00273AC7" w:rsidP="00273AC7">
      <w:pPr>
        <w:overflowPunct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</w:t>
      </w:r>
    </w:p>
    <w:p w:rsidR="00273AC7" w:rsidRDefault="00273AC7" w:rsidP="00273AC7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color w:val="000000"/>
          <w:szCs w:val="28"/>
        </w:rPr>
        <w:t>о ландшафтном памятнике природы</w:t>
      </w:r>
    </w:p>
    <w:p w:rsidR="00273AC7" w:rsidRDefault="00273AC7" w:rsidP="00273AC7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регионального значения «</w:t>
      </w:r>
      <w:proofErr w:type="spellStart"/>
      <w:r>
        <w:rPr>
          <w:b/>
          <w:szCs w:val="28"/>
        </w:rPr>
        <w:t>Варгачное-Корбозерское</w:t>
      </w:r>
      <w:proofErr w:type="spellEnd"/>
      <w:r>
        <w:rPr>
          <w:b/>
          <w:szCs w:val="28"/>
        </w:rPr>
        <w:t>»</w:t>
      </w:r>
    </w:p>
    <w:p w:rsidR="00273AC7" w:rsidRDefault="00273AC7" w:rsidP="00273AC7">
      <w:pPr>
        <w:overflowPunct w:val="0"/>
        <w:autoSpaceDE w:val="0"/>
        <w:autoSpaceDN w:val="0"/>
        <w:adjustRightInd w:val="0"/>
        <w:jc w:val="both"/>
        <w:rPr>
          <w:b/>
          <w:szCs w:val="28"/>
        </w:rPr>
      </w:pP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Ландшафтный памятник природы регионального значения «</w:t>
      </w:r>
      <w:proofErr w:type="spellStart"/>
      <w:r>
        <w:rPr>
          <w:szCs w:val="28"/>
        </w:rPr>
        <w:t>Варгачное-Корбозерское</w:t>
      </w:r>
      <w:proofErr w:type="spellEnd"/>
      <w:r>
        <w:rPr>
          <w:szCs w:val="28"/>
        </w:rPr>
        <w:t>» (далее – памятник природы) образован в целях сохранения ценного в экологическом, научном и рекреационном отношениях</w:t>
      </w:r>
      <w:r>
        <w:rPr>
          <w:color w:val="000000"/>
          <w:szCs w:val="28"/>
        </w:rPr>
        <w:t xml:space="preserve"> природного комплекса озера </w:t>
      </w:r>
      <w:proofErr w:type="spellStart"/>
      <w:r>
        <w:rPr>
          <w:color w:val="000000"/>
          <w:szCs w:val="28"/>
        </w:rPr>
        <w:t>Варгачное-Корбозерское</w:t>
      </w:r>
      <w:proofErr w:type="spellEnd"/>
      <w:r>
        <w:rPr>
          <w:szCs w:val="28"/>
        </w:rPr>
        <w:t xml:space="preserve"> и его окрестностей</w:t>
      </w:r>
      <w:r>
        <w:rPr>
          <w:color w:val="000000"/>
          <w:szCs w:val="28"/>
        </w:rPr>
        <w:t xml:space="preserve">. 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Памятник природы расположен на территории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в 22,5</w:t>
      </w:r>
      <w:r w:rsidR="00CE56EE">
        <w:rPr>
          <w:szCs w:val="28"/>
        </w:rPr>
        <w:t xml:space="preserve"> </w:t>
      </w:r>
      <w:r>
        <w:rPr>
          <w:szCs w:val="28"/>
        </w:rPr>
        <w:t xml:space="preserve">км на юго-восток от поселка </w:t>
      </w:r>
      <w:proofErr w:type="spellStart"/>
      <w:r>
        <w:rPr>
          <w:szCs w:val="28"/>
        </w:rPr>
        <w:t>Водла</w:t>
      </w:r>
      <w:proofErr w:type="spellEnd"/>
      <w:r>
        <w:rPr>
          <w:szCs w:val="28"/>
        </w:rPr>
        <w:t xml:space="preserve">, в кварталах 155 (выдел 18), 156, 157 (выделы 11, 12), 176 </w:t>
      </w:r>
      <w:r w:rsidR="00CE56EE">
        <w:rPr>
          <w:szCs w:val="28"/>
        </w:rPr>
        <w:t>(выделы 4, 7, 18), 177 (выделы 1–9, 12–29, 36–38, 41–</w:t>
      </w:r>
      <w:r>
        <w:rPr>
          <w:szCs w:val="28"/>
        </w:rPr>
        <w:t>45), 178 (выделы 1, 2, 15), 196 (выде</w:t>
      </w:r>
      <w:r w:rsidR="00CE56EE">
        <w:rPr>
          <w:szCs w:val="28"/>
        </w:rPr>
        <w:t>лы 3, 6, 15), 197 (выделы 1, 17–</w:t>
      </w:r>
      <w:r>
        <w:rPr>
          <w:szCs w:val="28"/>
        </w:rPr>
        <w:t xml:space="preserve">20) </w:t>
      </w:r>
      <w:proofErr w:type="spellStart"/>
      <w:r>
        <w:rPr>
          <w:szCs w:val="28"/>
        </w:rPr>
        <w:t>Водлинского</w:t>
      </w:r>
      <w:proofErr w:type="spellEnd"/>
      <w:r>
        <w:rPr>
          <w:szCs w:val="28"/>
        </w:rPr>
        <w:t xml:space="preserve"> лесничества (по материалам лесоустройства) </w:t>
      </w:r>
      <w:proofErr w:type="spellStart"/>
      <w:r>
        <w:rPr>
          <w:szCs w:val="28"/>
        </w:rPr>
        <w:t>Водлинского</w:t>
      </w:r>
      <w:proofErr w:type="spellEnd"/>
      <w:r>
        <w:rPr>
          <w:szCs w:val="28"/>
        </w:rPr>
        <w:t xml:space="preserve"> участкового лесничества </w:t>
      </w:r>
      <w:proofErr w:type="spellStart"/>
      <w:r>
        <w:rPr>
          <w:szCs w:val="28"/>
        </w:rPr>
        <w:t>Пудожского</w:t>
      </w:r>
      <w:proofErr w:type="spellEnd"/>
      <w:proofErr w:type="gramEnd"/>
      <w:r>
        <w:rPr>
          <w:szCs w:val="28"/>
        </w:rPr>
        <w:t xml:space="preserve"> лесничества (далее – </w:t>
      </w:r>
      <w:proofErr w:type="spellStart"/>
      <w:r>
        <w:rPr>
          <w:szCs w:val="28"/>
        </w:rPr>
        <w:t>Водлинское</w:t>
      </w:r>
      <w:proofErr w:type="spellEnd"/>
      <w:r>
        <w:rPr>
          <w:szCs w:val="28"/>
        </w:rPr>
        <w:t xml:space="preserve"> лесничество), 12</w:t>
      </w:r>
      <w:r w:rsidR="000252C1">
        <w:rPr>
          <w:szCs w:val="28"/>
        </w:rPr>
        <w:t xml:space="preserve"> (выделы 9, 10), 13 (выделы 1–</w:t>
      </w:r>
      <w:r>
        <w:rPr>
          <w:szCs w:val="28"/>
        </w:rPr>
        <w:t xml:space="preserve">6, 13, 14) </w:t>
      </w:r>
      <w:proofErr w:type="spellStart"/>
      <w:r>
        <w:rPr>
          <w:color w:val="000000"/>
          <w:szCs w:val="28"/>
        </w:rPr>
        <w:t>Колодозерского</w:t>
      </w:r>
      <w:proofErr w:type="spellEnd"/>
      <w:r>
        <w:rPr>
          <w:color w:val="000000"/>
          <w:szCs w:val="28"/>
        </w:rPr>
        <w:t xml:space="preserve"> лесничества (по материалам лесоустройства) </w:t>
      </w:r>
      <w:proofErr w:type="spellStart"/>
      <w:r>
        <w:rPr>
          <w:color w:val="000000"/>
          <w:szCs w:val="28"/>
        </w:rPr>
        <w:t>Водлинского</w:t>
      </w:r>
      <w:proofErr w:type="spellEnd"/>
      <w:r>
        <w:rPr>
          <w:color w:val="000000"/>
          <w:szCs w:val="28"/>
        </w:rPr>
        <w:t xml:space="preserve"> участкового лесничества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лесничества (далее – </w:t>
      </w:r>
      <w:proofErr w:type="spellStart"/>
      <w:r>
        <w:rPr>
          <w:color w:val="000000"/>
          <w:szCs w:val="28"/>
        </w:rPr>
        <w:t>Колодозерское</w:t>
      </w:r>
      <w:proofErr w:type="spellEnd"/>
      <w:r>
        <w:rPr>
          <w:color w:val="000000"/>
          <w:szCs w:val="28"/>
        </w:rPr>
        <w:t xml:space="preserve"> лесничество)</w:t>
      </w:r>
      <w:r>
        <w:rPr>
          <w:szCs w:val="28"/>
        </w:rPr>
        <w:t xml:space="preserve">. Общая площадь территории памятника природы составляет </w:t>
      </w:r>
      <w:r>
        <w:rPr>
          <w:color w:val="000000"/>
          <w:szCs w:val="28"/>
        </w:rPr>
        <w:t>1238,5</w:t>
      </w:r>
      <w:r>
        <w:rPr>
          <w:szCs w:val="28"/>
        </w:rPr>
        <w:t xml:space="preserve"> га, в том числе земель лесного фонда – </w:t>
      </w:r>
      <w:r>
        <w:rPr>
          <w:color w:val="000000"/>
          <w:szCs w:val="28"/>
        </w:rPr>
        <w:t>1238,5</w:t>
      </w:r>
      <w:r>
        <w:rPr>
          <w:szCs w:val="28"/>
        </w:rPr>
        <w:t xml:space="preserve"> га.</w:t>
      </w:r>
    </w:p>
    <w:p w:rsidR="00273AC7" w:rsidRDefault="00273AC7" w:rsidP="000252C1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природы, в том числе: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проведение всех видов рубок лесных насаждений, за исключением рубок</w:t>
      </w:r>
      <w:r w:rsidR="00CE56EE">
        <w:rPr>
          <w:szCs w:val="28"/>
        </w:rPr>
        <w:t xml:space="preserve"> лесных насаждений</w:t>
      </w:r>
      <w:r>
        <w:rPr>
          <w:szCs w:val="28"/>
        </w:rPr>
        <w:t>, проводимых в рамках санитарно-оздоровительных мероприятий</w:t>
      </w:r>
      <w:r w:rsidR="00CE56EE">
        <w:rPr>
          <w:szCs w:val="28"/>
        </w:rPr>
        <w:t xml:space="preserve">, </w:t>
      </w:r>
      <w:r>
        <w:rPr>
          <w:szCs w:val="28"/>
        </w:rPr>
        <w:t>лесохозяйственных мероприятий, способствующих сохранению и улучшению древостоев, а также рубок</w:t>
      </w:r>
      <w:r w:rsidR="00CE56EE">
        <w:rPr>
          <w:szCs w:val="28"/>
        </w:rPr>
        <w:t xml:space="preserve"> лесных насаждений</w:t>
      </w:r>
      <w:r>
        <w:rPr>
          <w:szCs w:val="28"/>
        </w:rPr>
        <w:t xml:space="preserve">, </w:t>
      </w:r>
      <w:r w:rsidR="00CE56EE">
        <w:rPr>
          <w:szCs w:val="28"/>
        </w:rPr>
        <w:t>связанных со строительством, реконструкцией и капитальным ремонтом объектов капитального строительства, линейных объектов</w:t>
      </w:r>
      <w:r>
        <w:rPr>
          <w:szCs w:val="28"/>
        </w:rPr>
        <w:t>;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разведка и разработка полезных ископаемых;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лесоосушительная мелиорация;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подсочка лесных насаждений;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строительство, реконструкция и капитальный ремонт объектов капитального строительства, в том числе линейных объектов, не связанных с целями создания памятника природы, </w:t>
      </w:r>
      <w:r w:rsidR="00CE56EE">
        <w:rPr>
          <w:szCs w:val="28"/>
        </w:rPr>
        <w:t xml:space="preserve">с </w:t>
      </w:r>
      <w:r>
        <w:rPr>
          <w:szCs w:val="28"/>
        </w:rPr>
        <w:t>обеспечением пожарной безопасности в лесах, а также с реконструкцией и капитальным ремонтом иных линейных объектов, существующих в границах памятника природы;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применение химических удобрений и ядохимикатов;</w:t>
      </w:r>
    </w:p>
    <w:p w:rsidR="00273AC7" w:rsidRDefault="00CE56EE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создание объектов размещения</w:t>
      </w:r>
      <w:r w:rsidR="00273AC7">
        <w:rPr>
          <w:szCs w:val="28"/>
        </w:rPr>
        <w:t xml:space="preserve"> отходов производства и потребления;</w:t>
      </w:r>
      <w:r w:rsidR="00273AC7">
        <w:rPr>
          <w:szCs w:val="28"/>
        </w:rPr>
        <w:tab/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заготовка и сбор грибов и дикорастущих растений, виды которых занесены в Красную книгу Российской Федерации и Красную книгу Республики Карелия;</w:t>
      </w:r>
    </w:p>
    <w:p w:rsidR="00273AC7" w:rsidRDefault="00273AC7" w:rsidP="00273AC7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уничтожение или повреждение аншлагов, стендов и других информационных знаков и указателей, а также оборудованных экологических троп и мест отдыха.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Границы и особенности </w:t>
      </w:r>
      <w:proofErr w:type="gramStart"/>
      <w:r>
        <w:rPr>
          <w:szCs w:val="28"/>
        </w:rPr>
        <w:t xml:space="preserve">режима особой охраны </w:t>
      </w:r>
      <w:r w:rsidR="00CE56EE">
        <w:rPr>
          <w:szCs w:val="28"/>
        </w:rPr>
        <w:t xml:space="preserve">территории </w:t>
      </w:r>
      <w:r>
        <w:rPr>
          <w:szCs w:val="28"/>
        </w:rPr>
        <w:t>памятника природы</w:t>
      </w:r>
      <w:proofErr w:type="gramEnd"/>
      <w:r>
        <w:rPr>
          <w:szCs w:val="28"/>
        </w:rPr>
        <w:t xml:space="preserve"> учитываются при разработке планов и перспектив экономического и социального развития, лесохозяйственных регламентов и проектов освоения лесов, </w:t>
      </w:r>
      <w:r w:rsidR="000252C1">
        <w:rPr>
          <w:szCs w:val="28"/>
        </w:rPr>
        <w:t xml:space="preserve">при </w:t>
      </w:r>
      <w:r>
        <w:rPr>
          <w:szCs w:val="28"/>
        </w:rPr>
        <w:t>подготовке документов территориального планирования, проведении лесоустройства и инвентаризации земель.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Памятник природы обозначается на местности предупредительными и информационными знаками по периметру его границ и (или) на основных въездах (выездах) на территорию памятника природы.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Охрана территории памятника природы, а также использование, охрана, защита и воспроизводство лесов, расположенных на территории памятника природы, осуществляются в соответствии с настоящим Положением и законодательством Российской Федерации.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Охрана, использование и воспроизводство объектов животного мира и среды их обитания на территории памятника природы осуществляются в соответствии с настоящим Положением, законодательством Российской Федерации и Республики Карелия.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Лица, виновные в нарушении режима особой охраны территории памятника природы, несут ответственность в соответствии с законодательством Российской Федерации.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природы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273AC7" w:rsidRDefault="00273AC7" w:rsidP="00273AC7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Государственный надзор в области охраны и использования территории памятника природы осуществляется Министерством по природопользованию и экологии Республики Карелия, а также учреждением, указанным в пункте 9 настоящего Положения.</w:t>
      </w:r>
    </w:p>
    <w:p w:rsidR="00273AC7" w:rsidRDefault="00273AC7" w:rsidP="00273AC7">
      <w:pPr>
        <w:ind w:firstLine="225"/>
        <w:rPr>
          <w:color w:val="000000"/>
          <w:szCs w:val="28"/>
        </w:rPr>
      </w:pPr>
    </w:p>
    <w:sectPr w:rsidR="00273AC7" w:rsidSect="00CE56E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54830"/>
      <w:docPartObj>
        <w:docPartGallery w:val="Page Numbers (Top of Page)"/>
        <w:docPartUnique/>
      </w:docPartObj>
    </w:sdtPr>
    <w:sdtEndPr/>
    <w:sdtContent>
      <w:p w:rsidR="00CE56EE" w:rsidRDefault="00CE5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E9">
          <w:rPr>
            <w:noProof/>
          </w:rPr>
          <w:t>2</w:t>
        </w:r>
        <w:r>
          <w:fldChar w:fldCharType="end"/>
        </w:r>
      </w:p>
    </w:sdtContent>
  </w:sdt>
  <w:p w:rsidR="00273AC7" w:rsidRDefault="00273A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535"/>
    <w:multiLevelType w:val="hybridMultilevel"/>
    <w:tmpl w:val="BED4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DE3"/>
    <w:multiLevelType w:val="hybridMultilevel"/>
    <w:tmpl w:val="D8D88420"/>
    <w:lvl w:ilvl="0" w:tplc="C7662766">
      <w:start w:val="1"/>
      <w:numFmt w:val="decimal"/>
      <w:lvlText w:val="%1."/>
      <w:lvlJc w:val="left"/>
      <w:pPr>
        <w:ind w:left="765" w:hanging="54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52C1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3AC7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7EBD"/>
    <w:rsid w:val="008573B7"/>
    <w:rsid w:val="00860B53"/>
    <w:rsid w:val="00884F2A"/>
    <w:rsid w:val="008A1AF8"/>
    <w:rsid w:val="008A3180"/>
    <w:rsid w:val="008A57E9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56EE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2E75-D776-4E16-A8EF-EA431B14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2016-06-23T06:48:00Z</cp:lastPrinted>
  <dcterms:created xsi:type="dcterms:W3CDTF">2016-06-10T12:54:00Z</dcterms:created>
  <dcterms:modified xsi:type="dcterms:W3CDTF">2016-06-23T06:49:00Z</dcterms:modified>
</cp:coreProperties>
</file>