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83DBC74" wp14:editId="6373726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09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0099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0099B">
        <w:t>17 декабря 2016 года № 445-П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C03D36" w:rsidRPr="00F3398F" w:rsidRDefault="00F3398F" w:rsidP="00F339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"/>
      <w:bookmarkStart w:id="1" w:name="Par23"/>
      <w:bookmarkEnd w:id="0"/>
      <w:bookmarkEnd w:id="1"/>
      <w:r w:rsidRPr="00F3398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Правительства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3398F">
        <w:rPr>
          <w:rFonts w:ascii="Times New Roman" w:hAnsi="Times New Roman" w:cs="Times New Roman"/>
          <w:b/>
          <w:sz w:val="28"/>
          <w:szCs w:val="28"/>
        </w:rPr>
        <w:t>Республики Карелия от 7 апреля 2016 года № 133-П</w:t>
      </w:r>
    </w:p>
    <w:p w:rsidR="00F3398F" w:rsidRDefault="00F3398F" w:rsidP="00F3398F">
      <w:pPr>
        <w:ind w:left="-142"/>
        <w:jc w:val="center"/>
        <w:rPr>
          <w:b/>
        </w:rPr>
      </w:pPr>
      <w:bookmarkStart w:id="2" w:name="_GoBack"/>
      <w:bookmarkEnd w:id="2"/>
    </w:p>
    <w:p w:rsidR="00F3398F" w:rsidRDefault="00F3398F" w:rsidP="00F3398F">
      <w:pPr>
        <w:ind w:left="-142" w:firstLine="567"/>
        <w:jc w:val="both"/>
      </w:pPr>
      <w:r>
        <w:t xml:space="preserve">Правительство Республики Карелия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F3398F" w:rsidRDefault="00F3398F" w:rsidP="00F3398F">
      <w:pPr>
        <w:ind w:left="-142" w:firstLine="568"/>
        <w:jc w:val="both"/>
      </w:pPr>
      <w:r>
        <w:t>Внести в приложение к постановлению Правительства Республики Карелия от 7 апреля 2016 года № 133-П «</w:t>
      </w:r>
      <w:r w:rsidRPr="00F3398F">
        <w:t>О распределении на 2016 год субсидий бюджетам муниципальных образований на реализацию мероприятий по сохранению мемориальных, военно-исторических объектов и памятников</w:t>
      </w:r>
      <w:r>
        <w:t>»</w:t>
      </w:r>
      <w:r w:rsidR="00721F4E">
        <w:t xml:space="preserve"> (Собрание законодательства Республики Карелия, 2016, № 4, ст. 815) изменение, изложив его в следующей редакции: </w:t>
      </w:r>
      <w:r>
        <w:t xml:space="preserve"> </w:t>
      </w:r>
    </w:p>
    <w:p w:rsidR="00F3398F" w:rsidRDefault="00F3398F" w:rsidP="00F3398F">
      <w:pPr>
        <w:ind w:left="-142" w:firstLine="567"/>
        <w:jc w:val="both"/>
      </w:pPr>
    </w:p>
    <w:p w:rsidR="00F3398F" w:rsidRDefault="00721F4E" w:rsidP="00F3398F">
      <w:pPr>
        <w:ind w:left="4536"/>
        <w:rPr>
          <w:szCs w:val="28"/>
        </w:rPr>
      </w:pPr>
      <w:r>
        <w:rPr>
          <w:szCs w:val="28"/>
        </w:rPr>
        <w:t>«</w:t>
      </w:r>
      <w:r w:rsidR="00F3398F">
        <w:rPr>
          <w:szCs w:val="28"/>
        </w:rPr>
        <w:t>Приложение к постановлению</w:t>
      </w:r>
    </w:p>
    <w:p w:rsidR="00F3398F" w:rsidRDefault="00F3398F" w:rsidP="00F3398F">
      <w:pPr>
        <w:ind w:left="4536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F3398F" w:rsidRDefault="00F3398F" w:rsidP="00F3398F">
      <w:pPr>
        <w:ind w:left="4536"/>
        <w:rPr>
          <w:szCs w:val="28"/>
        </w:rPr>
      </w:pPr>
      <w:r>
        <w:rPr>
          <w:szCs w:val="28"/>
        </w:rPr>
        <w:t>от  7 апреля 2016 года № 133-П</w:t>
      </w:r>
    </w:p>
    <w:p w:rsidR="00F3398F" w:rsidRDefault="00F3398F" w:rsidP="00F3398F">
      <w:pPr>
        <w:ind w:left="-142"/>
        <w:jc w:val="center"/>
        <w:rPr>
          <w:szCs w:val="28"/>
        </w:rPr>
      </w:pPr>
    </w:p>
    <w:p w:rsidR="00F3398F" w:rsidRDefault="00F3398F" w:rsidP="00F3398F">
      <w:pPr>
        <w:ind w:left="-142"/>
        <w:jc w:val="center"/>
        <w:rPr>
          <w:szCs w:val="28"/>
        </w:rPr>
      </w:pPr>
      <w:r>
        <w:rPr>
          <w:szCs w:val="28"/>
        </w:rPr>
        <w:t>Распределение на 2016 год</w:t>
      </w:r>
    </w:p>
    <w:p w:rsidR="00F3398F" w:rsidRDefault="00F3398F" w:rsidP="00F3398F">
      <w:pPr>
        <w:ind w:left="-142"/>
        <w:jc w:val="center"/>
        <w:rPr>
          <w:szCs w:val="28"/>
        </w:rPr>
      </w:pPr>
      <w:r>
        <w:rPr>
          <w:szCs w:val="28"/>
        </w:rPr>
        <w:t>субсидий бюджетам муниципальных образований</w:t>
      </w:r>
    </w:p>
    <w:p w:rsidR="00F3398F" w:rsidRDefault="00F3398F" w:rsidP="00F3398F">
      <w:pPr>
        <w:ind w:left="-142"/>
        <w:jc w:val="center"/>
        <w:rPr>
          <w:szCs w:val="28"/>
        </w:rPr>
      </w:pPr>
      <w:r>
        <w:rPr>
          <w:szCs w:val="28"/>
        </w:rPr>
        <w:t>на реализацию мероприятий по сохранению мемориальных,</w:t>
      </w:r>
    </w:p>
    <w:p w:rsidR="00F3398F" w:rsidRDefault="00F3398F" w:rsidP="00F3398F">
      <w:pPr>
        <w:ind w:left="-142"/>
        <w:jc w:val="center"/>
        <w:rPr>
          <w:szCs w:val="28"/>
        </w:rPr>
      </w:pPr>
      <w:r>
        <w:rPr>
          <w:szCs w:val="28"/>
        </w:rPr>
        <w:t>военно-исторических объектов и памятников</w:t>
      </w:r>
    </w:p>
    <w:p w:rsidR="00F3398F" w:rsidRDefault="00F3398F" w:rsidP="00F3398F">
      <w:pPr>
        <w:ind w:left="-142"/>
        <w:jc w:val="center"/>
        <w:rPr>
          <w:szCs w:val="28"/>
        </w:rPr>
      </w:pPr>
      <w:r>
        <w:rPr>
          <w:szCs w:val="28"/>
        </w:rPr>
        <w:t xml:space="preserve">   </w:t>
      </w:r>
    </w:p>
    <w:p w:rsidR="00F3398F" w:rsidRDefault="00F3398F" w:rsidP="00F3398F">
      <w:pPr>
        <w:ind w:left="-142" w:right="-14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(тыс. рублей)</w:t>
      </w:r>
    </w:p>
    <w:tbl>
      <w:tblPr>
        <w:tblStyle w:val="af4"/>
        <w:tblW w:w="9923" w:type="dxa"/>
        <w:tblInd w:w="-176" w:type="dxa"/>
        <w:tblLook w:val="04A0" w:firstRow="1" w:lastRow="0" w:firstColumn="1" w:lastColumn="0" w:noHBand="0" w:noVBand="1"/>
      </w:tblPr>
      <w:tblGrid>
        <w:gridCol w:w="999"/>
        <w:gridCol w:w="6941"/>
        <w:gridCol w:w="1523"/>
        <w:gridCol w:w="460"/>
      </w:tblGrid>
      <w:tr w:rsidR="00F3398F" w:rsidTr="00721F4E">
        <w:trPr>
          <w:gridAfter w:val="1"/>
          <w:wAfter w:w="46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F" w:rsidRDefault="00F3398F">
            <w:pPr>
              <w:spacing w:after="4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</w:rPr>
              <w:br/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F" w:rsidRDefault="00F3398F">
            <w:pPr>
              <w:ind w:right="-74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F" w:rsidRDefault="00F3398F">
            <w:pPr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721F4E" w:rsidTr="00721F4E">
        <w:trPr>
          <w:gridAfter w:val="1"/>
          <w:wAfter w:w="46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E" w:rsidRDefault="00721F4E">
            <w:pPr>
              <w:spacing w:after="4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E" w:rsidRDefault="00721F4E">
            <w:pPr>
              <w:ind w:right="-7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E" w:rsidRDefault="00721F4E">
            <w:pPr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F3398F" w:rsidTr="00721F4E">
        <w:trPr>
          <w:gridAfter w:val="1"/>
          <w:wAfter w:w="46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F" w:rsidRDefault="00F3398F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F" w:rsidRDefault="00F3398F">
            <w:pPr>
              <w:spacing w:before="40" w:after="40"/>
              <w:ind w:right="-74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F" w:rsidRDefault="00F3398F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898,4</w:t>
            </w:r>
          </w:p>
        </w:tc>
      </w:tr>
      <w:tr w:rsidR="00F3398F" w:rsidTr="00721F4E">
        <w:trPr>
          <w:gridAfter w:val="1"/>
          <w:wAfter w:w="46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F" w:rsidRDefault="00F3398F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F" w:rsidRDefault="00F3398F">
            <w:pPr>
              <w:spacing w:before="40" w:after="40"/>
              <w:ind w:right="-74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F" w:rsidRDefault="00F3398F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155,7</w:t>
            </w:r>
          </w:p>
        </w:tc>
      </w:tr>
      <w:tr w:rsidR="00F3398F" w:rsidTr="00721F4E">
        <w:trPr>
          <w:gridAfter w:val="1"/>
          <w:wAfter w:w="46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F" w:rsidRDefault="00F3398F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F" w:rsidRDefault="00F3398F">
            <w:pPr>
              <w:spacing w:before="40" w:after="40"/>
              <w:ind w:right="-74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98F" w:rsidRDefault="00F3398F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2 512,1</w:t>
            </w:r>
          </w:p>
        </w:tc>
      </w:tr>
      <w:tr w:rsidR="00721F4E" w:rsidTr="00721F4E">
        <w:trPr>
          <w:gridAfter w:val="1"/>
          <w:wAfter w:w="46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E" w:rsidRDefault="00721F4E" w:rsidP="004C18E5">
            <w:pPr>
              <w:spacing w:after="4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E" w:rsidRDefault="00721F4E" w:rsidP="004C18E5">
            <w:pPr>
              <w:ind w:right="-7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E" w:rsidRDefault="00721F4E" w:rsidP="004C18E5">
            <w:pPr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21F4E" w:rsidTr="00721F4E">
        <w:trPr>
          <w:gridAfter w:val="1"/>
          <w:wAfter w:w="46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right="-74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1 777,8</w:t>
            </w:r>
          </w:p>
        </w:tc>
      </w:tr>
      <w:tr w:rsidR="00721F4E" w:rsidTr="00721F4E">
        <w:trPr>
          <w:gridAfter w:val="1"/>
          <w:wAfter w:w="46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right="-74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2 463,0</w:t>
            </w:r>
          </w:p>
        </w:tc>
      </w:tr>
      <w:tr w:rsidR="00721F4E" w:rsidTr="00721F4E">
        <w:trPr>
          <w:gridAfter w:val="1"/>
          <w:wAfter w:w="46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E" w:rsidRDefault="00721F4E">
            <w:pPr>
              <w:spacing w:before="40" w:after="40"/>
              <w:ind w:left="-142" w:right="-145"/>
              <w:jc w:val="center"/>
              <w:rPr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right="-74"/>
              <w:rPr>
                <w:szCs w:val="28"/>
              </w:rPr>
            </w:pPr>
            <w:proofErr w:type="spellStart"/>
            <w:r>
              <w:rPr>
                <w:szCs w:val="28"/>
              </w:rPr>
              <w:t>Пиндушское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2 463,0</w:t>
            </w:r>
          </w:p>
        </w:tc>
      </w:tr>
      <w:tr w:rsidR="00721F4E" w:rsidTr="00721F4E">
        <w:trPr>
          <w:gridAfter w:val="1"/>
          <w:wAfter w:w="46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right="-74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1 156,4</w:t>
            </w:r>
          </w:p>
        </w:tc>
      </w:tr>
      <w:tr w:rsidR="00721F4E" w:rsidTr="00721F4E">
        <w:trPr>
          <w:gridAfter w:val="1"/>
          <w:wAfter w:w="46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right="-74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334,8</w:t>
            </w:r>
          </w:p>
        </w:tc>
      </w:tr>
      <w:tr w:rsidR="00721F4E" w:rsidTr="00721F4E">
        <w:trPr>
          <w:gridAfter w:val="1"/>
          <w:wAfter w:w="46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right="-74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2 820,2</w:t>
            </w:r>
          </w:p>
        </w:tc>
      </w:tr>
      <w:tr w:rsidR="00721F4E" w:rsidTr="00721F4E">
        <w:trPr>
          <w:gridAfter w:val="1"/>
          <w:wAfter w:w="46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E" w:rsidRDefault="00721F4E">
            <w:pPr>
              <w:spacing w:before="40" w:after="40"/>
              <w:ind w:left="-142" w:right="-145"/>
              <w:jc w:val="center"/>
              <w:rPr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right="-74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2 820,2</w:t>
            </w:r>
          </w:p>
        </w:tc>
      </w:tr>
      <w:tr w:rsidR="00721F4E" w:rsidTr="00721F4E">
        <w:trPr>
          <w:gridAfter w:val="1"/>
          <w:wAfter w:w="46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right="-74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178,7</w:t>
            </w:r>
          </w:p>
        </w:tc>
      </w:tr>
      <w:tr w:rsidR="00721F4E" w:rsidTr="00721F4E">
        <w:trPr>
          <w:gridAfter w:val="1"/>
          <w:wAfter w:w="46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right="-74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466,7</w:t>
            </w:r>
          </w:p>
        </w:tc>
      </w:tr>
      <w:tr w:rsidR="00721F4E" w:rsidTr="00721F4E">
        <w:trPr>
          <w:gridAfter w:val="1"/>
          <w:wAfter w:w="46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 w:rsidP="00721F4E">
            <w:pPr>
              <w:spacing w:before="40" w:after="40"/>
              <w:ind w:right="-74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</w:t>
            </w:r>
            <w:r w:rsidR="00780FA4">
              <w:rPr>
                <w:szCs w:val="28"/>
              </w:rPr>
              <w:t>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180,2</w:t>
            </w:r>
          </w:p>
        </w:tc>
      </w:tr>
      <w:tr w:rsidR="00721F4E" w:rsidTr="00721F4E">
        <w:trPr>
          <w:gridAfter w:val="1"/>
          <w:wAfter w:w="46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E" w:rsidRDefault="00721F4E">
            <w:pPr>
              <w:spacing w:before="40" w:after="40"/>
              <w:ind w:left="-142" w:right="-145"/>
              <w:jc w:val="center"/>
              <w:rPr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E" w:rsidRDefault="00721F4E" w:rsidP="00036FF2">
            <w:pPr>
              <w:spacing w:before="40" w:after="40"/>
              <w:ind w:right="-74"/>
              <w:rPr>
                <w:szCs w:val="28"/>
              </w:rPr>
            </w:pPr>
            <w:proofErr w:type="spellStart"/>
            <w:r>
              <w:rPr>
                <w:szCs w:val="28"/>
              </w:rPr>
              <w:t>Хаапалампинское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E" w:rsidRDefault="00721F4E" w:rsidP="00036FF2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180,2</w:t>
            </w:r>
          </w:p>
        </w:tc>
      </w:tr>
      <w:tr w:rsidR="00721F4E" w:rsidTr="00721F4E">
        <w:trPr>
          <w:gridAfter w:val="1"/>
          <w:wAfter w:w="46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E" w:rsidRDefault="00721F4E">
            <w:pPr>
              <w:spacing w:before="40" w:after="40"/>
              <w:ind w:left="-142" w:right="-145"/>
              <w:jc w:val="center"/>
              <w:rPr>
                <w:szCs w:val="28"/>
              </w:rPr>
            </w:pPr>
            <w:r>
              <w:tab/>
            </w:r>
            <w:r>
              <w:rPr>
                <w:szCs w:val="28"/>
              </w:rPr>
              <w:t>12.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E" w:rsidRDefault="00721F4E" w:rsidP="00721F4E">
            <w:pPr>
              <w:spacing w:before="40" w:after="40"/>
              <w:ind w:right="-74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E" w:rsidRDefault="00721F4E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1 456,0</w:t>
            </w:r>
          </w:p>
        </w:tc>
      </w:tr>
      <w:tr w:rsidR="00721F4E" w:rsidTr="00721F4E">
        <w:trPr>
          <w:gridAfter w:val="1"/>
          <w:wAfter w:w="460" w:type="dxa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E" w:rsidRDefault="00721F4E">
            <w:pPr>
              <w:spacing w:before="40" w:after="40"/>
              <w:ind w:left="-142" w:right="-145"/>
              <w:jc w:val="center"/>
              <w:rPr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right="-74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764,2</w:t>
            </w:r>
          </w:p>
        </w:tc>
      </w:tr>
      <w:tr w:rsidR="00721F4E" w:rsidTr="00721F4E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4E" w:rsidRDefault="00721F4E">
            <w:pPr>
              <w:spacing w:before="40" w:after="40"/>
              <w:ind w:left="-142" w:right="-145"/>
              <w:jc w:val="center"/>
              <w:rPr>
                <w:szCs w:val="28"/>
              </w:rPr>
            </w:pP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right="-74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4E" w:rsidRDefault="00721F4E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14 400,0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1F4E" w:rsidRDefault="00721F4E">
            <w:pPr>
              <w:spacing w:before="40" w:after="40"/>
              <w:ind w:left="-153" w:right="-144"/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F3398F" w:rsidRDefault="00F3398F" w:rsidP="00F3398F">
      <w:pPr>
        <w:ind w:left="-142"/>
        <w:jc w:val="center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721F4E" w:rsidRDefault="00721F4E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971198"/>
      <w:docPartObj>
        <w:docPartGallery w:val="Page Numbers (Top of Page)"/>
        <w:docPartUnique/>
      </w:docPartObj>
    </w:sdtPr>
    <w:sdtEndPr/>
    <w:sdtContent>
      <w:p w:rsidR="00721F4E" w:rsidRDefault="00721F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99B">
          <w:rPr>
            <w:noProof/>
          </w:rPr>
          <w:t>2</w:t>
        </w:r>
        <w:r>
          <w:fldChar w:fldCharType="end"/>
        </w:r>
      </w:p>
    </w:sdtContent>
  </w:sdt>
  <w:p w:rsidR="00721F4E" w:rsidRDefault="00721F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0099B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1F4E"/>
    <w:rsid w:val="00726286"/>
    <w:rsid w:val="00756C1D"/>
    <w:rsid w:val="00757706"/>
    <w:rsid w:val="007705AD"/>
    <w:rsid w:val="007771A7"/>
    <w:rsid w:val="00780FA4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398F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F339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98F6-6215-458C-98D0-FA85C9F8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2016-12-20T07:23:00Z</cp:lastPrinted>
  <dcterms:created xsi:type="dcterms:W3CDTF">2016-12-15T13:22:00Z</dcterms:created>
  <dcterms:modified xsi:type="dcterms:W3CDTF">2016-12-20T07:24:00Z</dcterms:modified>
</cp:coreProperties>
</file>