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B259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594" w:rsidRDefault="004B2594" w:rsidP="004B259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4B2594" w:rsidRDefault="004B2594" w:rsidP="004B2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bookmarkEnd w:id="0"/>
    <w:p w:rsidR="004B2594" w:rsidRDefault="004B2594" w:rsidP="004B2594">
      <w:pPr>
        <w:jc w:val="center"/>
        <w:rPr>
          <w:b/>
          <w:sz w:val="28"/>
          <w:szCs w:val="28"/>
        </w:rPr>
      </w:pPr>
    </w:p>
    <w:p w:rsidR="004B2594" w:rsidRDefault="004B2594" w:rsidP="004B2594">
      <w:pPr>
        <w:pStyle w:val="a3"/>
        <w:ind w:firstLine="851"/>
        <w:rPr>
          <w:sz w:val="20"/>
        </w:rPr>
      </w:pPr>
    </w:p>
    <w:p w:rsidR="004B2594" w:rsidRDefault="004B2594" w:rsidP="004B259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4B2594" w:rsidRDefault="004B2594" w:rsidP="004B2594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ПАНКРАТОВА Игоря Аркадьевича – г</w:t>
      </w:r>
      <w:r>
        <w:rPr>
          <w:sz w:val="28"/>
          <w:szCs w:val="28"/>
        </w:rPr>
        <w:t>лаву муниципального образования «</w:t>
      </w:r>
      <w:proofErr w:type="spellStart"/>
      <w:r>
        <w:rPr>
          <w:sz w:val="28"/>
          <w:szCs w:val="28"/>
        </w:rPr>
        <w:t>Великогубское</w:t>
      </w:r>
      <w:proofErr w:type="spellEnd"/>
      <w:r>
        <w:rPr>
          <w:sz w:val="28"/>
          <w:szCs w:val="28"/>
        </w:rPr>
        <w:t xml:space="preserve"> сельское поселение», Медвежьегорский муниципальный район.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B2594" w:rsidP="00E4211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F13D2">
        <w:rPr>
          <w:sz w:val="28"/>
          <w:szCs w:val="28"/>
        </w:rPr>
        <w:t xml:space="preserve"> </w:t>
      </w:r>
      <w:r w:rsidR="008A2BD0">
        <w:rPr>
          <w:sz w:val="28"/>
          <w:szCs w:val="28"/>
        </w:rPr>
        <w:t>февраля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B2594">
        <w:rPr>
          <w:sz w:val="28"/>
          <w:szCs w:val="28"/>
        </w:rPr>
        <w:t xml:space="preserve"> 11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B259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2017-02-08T07:24:00Z</dcterms:created>
  <dcterms:modified xsi:type="dcterms:W3CDTF">2017-02-08T07:24:00Z</dcterms:modified>
</cp:coreProperties>
</file>