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3D1E68" w:rsidRPr="003D1E6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91394A">
        <w:t xml:space="preserve">            </w:t>
      </w:r>
      <w:r w:rsidR="00B168AD">
        <w:t xml:space="preserve"> </w:t>
      </w:r>
      <w:r>
        <w:t xml:space="preserve"> </w:t>
      </w:r>
      <w:r w:rsidR="00307849">
        <w:t xml:space="preserve">от </w:t>
      </w:r>
      <w:r w:rsidR="00ED6C2A">
        <w:t xml:space="preserve"> </w:t>
      </w:r>
      <w:r w:rsidR="0091394A">
        <w:t>8 декабря 2017 года № 433-П</w:t>
      </w:r>
    </w:p>
    <w:p w:rsidR="00EC6C74" w:rsidRDefault="00307849" w:rsidP="00D47749">
      <w:pPr>
        <w:spacing w:before="240"/>
        <w:ind w:left="-142"/>
        <w:jc w:val="center"/>
        <w:rPr>
          <w:szCs w:val="28"/>
        </w:rPr>
      </w:pPr>
      <w:r>
        <w:t>г.</w:t>
      </w:r>
      <w:r w:rsidR="00E4256C">
        <w:t xml:space="preserve"> </w:t>
      </w:r>
      <w:r>
        <w:t xml:space="preserve">Петрозаводск </w:t>
      </w:r>
    </w:p>
    <w:p w:rsidR="00E52E51" w:rsidRPr="00F039A6" w:rsidRDefault="00E52E51" w:rsidP="00F039A6">
      <w:pPr>
        <w:ind w:left="284" w:right="395" w:firstLine="567"/>
        <w:jc w:val="both"/>
        <w:rPr>
          <w:b/>
          <w:szCs w:val="28"/>
        </w:rPr>
      </w:pPr>
    </w:p>
    <w:p w:rsidR="0040544D" w:rsidRPr="0040544D" w:rsidRDefault="0040544D" w:rsidP="0040544D">
      <w:pPr>
        <w:pStyle w:val="ConsPlusNormal"/>
        <w:ind w:left="284" w:right="140" w:firstLine="0"/>
        <w:jc w:val="center"/>
        <w:rPr>
          <w:rFonts w:ascii="Times New Roman" w:hAnsi="Times New Roman" w:cs="Times New Roman"/>
          <w:b/>
          <w:color w:val="000000"/>
          <w:sz w:val="28"/>
          <w:szCs w:val="24"/>
        </w:rPr>
      </w:pPr>
      <w:bookmarkStart w:id="0" w:name="__DdeLink__429_1692088869"/>
      <w:r w:rsidRPr="0040544D">
        <w:rPr>
          <w:rFonts w:ascii="Times New Roman" w:hAnsi="Times New Roman" w:cs="Times New Roman"/>
          <w:b/>
          <w:sz w:val="28"/>
          <w:szCs w:val="24"/>
        </w:rPr>
        <w:t xml:space="preserve">О </w:t>
      </w:r>
      <w:bookmarkEnd w:id="0"/>
      <w:r w:rsidRPr="0040544D">
        <w:rPr>
          <w:rFonts w:ascii="Times New Roman" w:hAnsi="Times New Roman" w:cs="Times New Roman"/>
          <w:b/>
          <w:color w:val="000000"/>
          <w:sz w:val="28"/>
          <w:szCs w:val="24"/>
        </w:rPr>
        <w:t xml:space="preserve">распределении на 2017 год субсидий </w:t>
      </w:r>
      <w:r>
        <w:rPr>
          <w:rFonts w:ascii="Times New Roman" w:hAnsi="Times New Roman" w:cs="Times New Roman"/>
          <w:b/>
          <w:color w:val="000000"/>
          <w:sz w:val="28"/>
          <w:szCs w:val="24"/>
        </w:rPr>
        <w:t xml:space="preserve">местным бюджетам </w:t>
      </w:r>
      <w:r>
        <w:rPr>
          <w:rFonts w:ascii="Times New Roman" w:hAnsi="Times New Roman" w:cs="Times New Roman"/>
          <w:b/>
          <w:color w:val="000000"/>
          <w:sz w:val="28"/>
          <w:szCs w:val="24"/>
        </w:rPr>
        <w:br/>
      </w:r>
      <w:r w:rsidRPr="0040544D">
        <w:rPr>
          <w:rFonts w:ascii="Times New Roman" w:hAnsi="Times New Roman" w:cs="Times New Roman"/>
          <w:b/>
          <w:color w:val="000000"/>
          <w:sz w:val="28"/>
          <w:szCs w:val="24"/>
        </w:rPr>
        <w:t xml:space="preserve">на реализацию мероприятий государственной программы </w:t>
      </w:r>
      <w:r>
        <w:rPr>
          <w:rFonts w:ascii="Times New Roman" w:hAnsi="Times New Roman" w:cs="Times New Roman"/>
          <w:b/>
          <w:color w:val="000000"/>
          <w:sz w:val="28"/>
          <w:szCs w:val="24"/>
        </w:rPr>
        <w:br/>
      </w:r>
      <w:r w:rsidRPr="0040544D">
        <w:rPr>
          <w:rFonts w:ascii="Times New Roman" w:hAnsi="Times New Roman" w:cs="Times New Roman"/>
          <w:b/>
          <w:color w:val="000000"/>
          <w:sz w:val="28"/>
          <w:szCs w:val="24"/>
        </w:rPr>
        <w:t xml:space="preserve">Республики Карелия «Развитие культуры» (на частичную </w:t>
      </w:r>
      <w:r>
        <w:rPr>
          <w:rFonts w:ascii="Times New Roman" w:hAnsi="Times New Roman" w:cs="Times New Roman"/>
          <w:b/>
          <w:color w:val="000000"/>
          <w:sz w:val="28"/>
          <w:szCs w:val="24"/>
        </w:rPr>
        <w:br/>
      </w:r>
      <w:r w:rsidRPr="0040544D">
        <w:rPr>
          <w:rFonts w:ascii="Times New Roman" w:hAnsi="Times New Roman" w:cs="Times New Roman"/>
          <w:b/>
          <w:color w:val="000000"/>
          <w:sz w:val="28"/>
          <w:szCs w:val="24"/>
        </w:rPr>
        <w:t xml:space="preserve">компенсацию дополнительных расходов на повышение оплаты </w:t>
      </w:r>
      <w:r>
        <w:rPr>
          <w:rFonts w:ascii="Times New Roman" w:hAnsi="Times New Roman" w:cs="Times New Roman"/>
          <w:b/>
          <w:color w:val="000000"/>
          <w:sz w:val="28"/>
          <w:szCs w:val="24"/>
        </w:rPr>
        <w:br/>
      </w:r>
      <w:r w:rsidRPr="0040544D">
        <w:rPr>
          <w:rFonts w:ascii="Times New Roman" w:hAnsi="Times New Roman" w:cs="Times New Roman"/>
          <w:b/>
          <w:color w:val="000000"/>
          <w:sz w:val="28"/>
          <w:szCs w:val="24"/>
        </w:rPr>
        <w:t xml:space="preserve">труда работников муниципальных учреждений культуры) </w:t>
      </w:r>
    </w:p>
    <w:p w:rsidR="0040544D" w:rsidRDefault="0040544D" w:rsidP="0040544D">
      <w:pPr>
        <w:pStyle w:val="ConsPlusNormal"/>
        <w:ind w:left="284" w:right="140" w:firstLine="0"/>
        <w:jc w:val="center"/>
        <w:rPr>
          <w:rFonts w:hAnsi="Liberation Serif" w:cs="Times New Roman"/>
          <w:sz w:val="16"/>
          <w:szCs w:val="24"/>
        </w:rPr>
      </w:pPr>
    </w:p>
    <w:p w:rsidR="0040544D" w:rsidRDefault="0040544D" w:rsidP="0040544D">
      <w:pPr>
        <w:pStyle w:val="ConsPlusNormal"/>
        <w:ind w:left="284" w:right="140" w:firstLine="0"/>
        <w:jc w:val="both"/>
        <w:rPr>
          <w:rFonts w:ascii="Times New Roman" w:hAnsi="Times New Roman" w:cs="Times New Roman"/>
          <w:color w:val="000000"/>
          <w:sz w:val="28"/>
          <w:szCs w:val="24"/>
        </w:rPr>
      </w:pPr>
    </w:p>
    <w:p w:rsidR="0040544D" w:rsidRDefault="0040544D" w:rsidP="0040544D">
      <w:pPr>
        <w:pStyle w:val="ConsPlusNormal"/>
        <w:ind w:left="284" w:right="140" w:firstLine="709"/>
        <w:jc w:val="both"/>
        <w:rPr>
          <w:rFonts w:hAnsi="Liberation Serif" w:cs="Times New Roman"/>
          <w:sz w:val="16"/>
          <w:szCs w:val="24"/>
        </w:rPr>
      </w:pPr>
      <w:r>
        <w:rPr>
          <w:rFonts w:ascii="Times New Roman" w:hAnsi="Times New Roman" w:cs="Times New Roman"/>
          <w:color w:val="000000"/>
          <w:sz w:val="28"/>
          <w:szCs w:val="24"/>
        </w:rPr>
        <w:t xml:space="preserve">В соответствии со статьей 9 Закона Республики Карелия от 21 декабря </w:t>
      </w:r>
      <w:r>
        <w:rPr>
          <w:rFonts w:ascii="Times New Roman" w:hAnsi="Times New Roman" w:cs="Times New Roman"/>
          <w:color w:val="000000"/>
          <w:sz w:val="28"/>
          <w:szCs w:val="24"/>
        </w:rPr>
        <w:br/>
        <w:t xml:space="preserve">2016 года № 2083-ЗРК «О бюджете Республики Карелия на 2017 год </w:t>
      </w:r>
      <w:r w:rsidR="00CC7394">
        <w:rPr>
          <w:rFonts w:ascii="Times New Roman" w:hAnsi="Times New Roman" w:cs="Times New Roman"/>
          <w:color w:val="000000"/>
          <w:sz w:val="28"/>
          <w:szCs w:val="24"/>
        </w:rPr>
        <w:br/>
      </w:r>
      <w:bookmarkStart w:id="1" w:name="_GoBack"/>
      <w:bookmarkEnd w:id="1"/>
      <w:r>
        <w:rPr>
          <w:rFonts w:ascii="Times New Roman" w:hAnsi="Times New Roman" w:cs="Times New Roman"/>
          <w:color w:val="000000"/>
          <w:sz w:val="28"/>
          <w:szCs w:val="24"/>
        </w:rPr>
        <w:t xml:space="preserve">и на плановый период 2018 и 2019 годов» Правительство Республики Карелия </w:t>
      </w:r>
      <w:r>
        <w:rPr>
          <w:rFonts w:ascii="Times New Roman" w:hAnsi="Times New Roman" w:cs="Times New Roman"/>
          <w:color w:val="000000"/>
          <w:sz w:val="28"/>
          <w:szCs w:val="24"/>
        </w:rPr>
        <w:br/>
      </w:r>
      <w:r w:rsidRPr="0040544D">
        <w:rPr>
          <w:rFonts w:ascii="Times New Roman" w:hAnsi="Times New Roman" w:cs="Times New Roman"/>
          <w:b/>
          <w:color w:val="000000"/>
          <w:sz w:val="28"/>
          <w:szCs w:val="24"/>
        </w:rPr>
        <w:t>п</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о</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с</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т</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а</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н</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о</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в</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л</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я</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е</w:t>
      </w:r>
      <w:r>
        <w:rPr>
          <w:rFonts w:ascii="Times New Roman" w:hAnsi="Times New Roman" w:cs="Times New Roman"/>
          <w:b/>
          <w:color w:val="000000"/>
          <w:sz w:val="28"/>
          <w:szCs w:val="24"/>
        </w:rPr>
        <w:t xml:space="preserve"> </w:t>
      </w:r>
      <w:r w:rsidRPr="0040544D">
        <w:rPr>
          <w:rFonts w:ascii="Times New Roman" w:hAnsi="Times New Roman" w:cs="Times New Roman"/>
          <w:b/>
          <w:color w:val="000000"/>
          <w:sz w:val="28"/>
          <w:szCs w:val="24"/>
        </w:rPr>
        <w:t>т</w:t>
      </w:r>
      <w:r>
        <w:rPr>
          <w:rFonts w:ascii="Times New Roman" w:hAnsi="Times New Roman" w:cs="Times New Roman"/>
          <w:color w:val="000000"/>
          <w:sz w:val="28"/>
          <w:szCs w:val="24"/>
        </w:rPr>
        <w:t>:</w:t>
      </w:r>
    </w:p>
    <w:p w:rsidR="0040544D" w:rsidRDefault="0040544D" w:rsidP="0040544D">
      <w:pPr>
        <w:pStyle w:val="ConsPlusNormal"/>
        <w:ind w:left="284" w:right="140"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Установить распределение на 2017 год субсидий местным бюджетам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согласно приложению.</w:t>
      </w:r>
    </w:p>
    <w:p w:rsidR="0040544D" w:rsidRDefault="0040544D" w:rsidP="0040544D">
      <w:pPr>
        <w:pStyle w:val="ConsPlusNormal"/>
        <w:spacing w:before="160"/>
        <w:ind w:left="284" w:right="140" w:firstLine="0"/>
        <w:jc w:val="both"/>
        <w:rPr>
          <w:rFonts w:cs="Times New Roman"/>
          <w:szCs w:val="24"/>
        </w:rPr>
      </w:pPr>
    </w:p>
    <w:p w:rsidR="000E7805" w:rsidRDefault="000E7805" w:rsidP="0040544D">
      <w:pPr>
        <w:pStyle w:val="ConsPlusNormal"/>
        <w:ind w:left="284" w:right="140" w:firstLine="0"/>
        <w:rPr>
          <w:rFonts w:ascii="Times New Roman" w:hAnsi="Times New Roman" w:cs="Times New Roman"/>
          <w:sz w:val="28"/>
          <w:szCs w:val="28"/>
        </w:rPr>
      </w:pPr>
      <w:r>
        <w:rPr>
          <w:rFonts w:ascii="Times New Roman" w:hAnsi="Times New Roman" w:cs="Times New Roman"/>
          <w:sz w:val="28"/>
          <w:szCs w:val="28"/>
        </w:rPr>
        <w:br/>
        <w:t xml:space="preserve">           Глава </w:t>
      </w:r>
    </w:p>
    <w:p w:rsidR="000E7805" w:rsidRDefault="000E7805" w:rsidP="0040544D">
      <w:pPr>
        <w:pStyle w:val="ConsPlusNormal"/>
        <w:ind w:left="284" w:right="140" w:firstLine="0"/>
        <w:rPr>
          <w:rFonts w:ascii="Times New Roman" w:hAnsi="Times New Roman" w:cs="Times New Roman"/>
          <w:sz w:val="28"/>
          <w:szCs w:val="28"/>
        </w:rPr>
      </w:pPr>
      <w:r>
        <w:rPr>
          <w:rFonts w:ascii="Times New Roman" w:hAnsi="Times New Roman" w:cs="Times New Roman"/>
          <w:sz w:val="28"/>
          <w:szCs w:val="28"/>
        </w:rPr>
        <w:t xml:space="preserve">Республики Карелия                                                                А.О. </w:t>
      </w:r>
      <w:proofErr w:type="spellStart"/>
      <w:r>
        <w:rPr>
          <w:rFonts w:ascii="Times New Roman" w:hAnsi="Times New Roman" w:cs="Times New Roman"/>
          <w:sz w:val="28"/>
          <w:szCs w:val="28"/>
        </w:rPr>
        <w:t>Парфенчиков</w:t>
      </w:r>
      <w:proofErr w:type="spellEnd"/>
    </w:p>
    <w:p w:rsidR="0040544D" w:rsidRDefault="0040544D" w:rsidP="0040544D">
      <w:pPr>
        <w:pStyle w:val="ConsPlusNormal"/>
        <w:jc w:val="center"/>
        <w:rPr>
          <w:rFonts w:ascii="Times New Roman" w:hAnsi="Times New Roman" w:cs="Times New Roman"/>
          <w:b/>
          <w:sz w:val="28"/>
          <w:szCs w:val="24"/>
        </w:rPr>
      </w:pPr>
    </w:p>
    <w:p w:rsidR="0040544D" w:rsidRDefault="0040544D" w:rsidP="0040544D">
      <w:pPr>
        <w:pStyle w:val="ConsPlusNormal"/>
        <w:jc w:val="center"/>
        <w:rPr>
          <w:rFonts w:ascii="Times New Roman" w:hAnsi="Times New Roman" w:cs="Times New Roman"/>
          <w:color w:val="000000"/>
          <w:sz w:val="28"/>
          <w:szCs w:val="24"/>
        </w:rPr>
      </w:pPr>
    </w:p>
    <w:p w:rsidR="0040544D" w:rsidRDefault="0040544D" w:rsidP="0040544D">
      <w:pPr>
        <w:pStyle w:val="ConsPlusNormal"/>
        <w:ind w:firstLine="540"/>
        <w:jc w:val="both"/>
        <w:rPr>
          <w:rFonts w:ascii="Times New Roman" w:hAnsi="Times New Roman" w:cs="Times New Roman"/>
          <w:color w:val="000000"/>
          <w:sz w:val="28"/>
          <w:szCs w:val="24"/>
        </w:rPr>
      </w:pPr>
    </w:p>
    <w:p w:rsidR="0040544D" w:rsidRDefault="0040544D" w:rsidP="0040544D">
      <w:pPr>
        <w:pStyle w:val="ConsPlusNormal"/>
        <w:jc w:val="right"/>
        <w:rPr>
          <w:rFonts w:ascii="Times New Roman" w:hAnsi="Times New Roman" w:cs="Times New Roman"/>
          <w:sz w:val="28"/>
          <w:szCs w:val="24"/>
        </w:rPr>
      </w:pPr>
    </w:p>
    <w:p w:rsidR="0040544D" w:rsidRDefault="0040544D" w:rsidP="0040544D">
      <w:pPr>
        <w:pStyle w:val="ConsPlusNormal"/>
        <w:jc w:val="right"/>
        <w:rPr>
          <w:rFonts w:ascii="Times New Roman" w:hAnsi="Times New Roman" w:cs="Times New Roman"/>
          <w:sz w:val="28"/>
          <w:szCs w:val="24"/>
        </w:rPr>
      </w:pPr>
    </w:p>
    <w:p w:rsidR="0040544D" w:rsidRDefault="0040544D" w:rsidP="0040544D">
      <w:pPr>
        <w:sectPr w:rsidR="0040544D">
          <w:pgSz w:w="11906" w:h="16838"/>
          <w:pgMar w:top="567" w:right="567" w:bottom="567" w:left="1134" w:header="720" w:footer="720" w:gutter="0"/>
          <w:cols w:space="720"/>
          <w:formProt w:val="0"/>
        </w:sectPr>
      </w:pPr>
    </w:p>
    <w:p w:rsidR="0040544D" w:rsidRPr="0040544D" w:rsidRDefault="0040544D" w:rsidP="0040544D">
      <w:pPr>
        <w:pStyle w:val="ConsPlusNormal"/>
        <w:ind w:left="5529" w:firstLine="0"/>
        <w:jc w:val="both"/>
        <w:rPr>
          <w:rFonts w:ascii="Times New Roman" w:hAnsi="Times New Roman" w:cs="Times New Roman"/>
          <w:sz w:val="25"/>
          <w:szCs w:val="25"/>
        </w:rPr>
      </w:pPr>
      <w:r w:rsidRPr="0040544D">
        <w:rPr>
          <w:rFonts w:ascii="Times New Roman" w:hAnsi="Times New Roman" w:cs="Times New Roman"/>
          <w:sz w:val="25"/>
          <w:szCs w:val="25"/>
        </w:rPr>
        <w:lastRenderedPageBreak/>
        <w:t xml:space="preserve">Приложение </w:t>
      </w:r>
    </w:p>
    <w:p w:rsidR="0040544D" w:rsidRPr="0040544D" w:rsidRDefault="0040544D" w:rsidP="0040544D">
      <w:pPr>
        <w:pStyle w:val="ConsPlusNormal"/>
        <w:ind w:left="5529" w:firstLine="0"/>
        <w:jc w:val="both"/>
        <w:rPr>
          <w:rFonts w:hAnsi="Liberation Serif" w:cs="Times New Roman"/>
          <w:sz w:val="25"/>
          <w:szCs w:val="25"/>
        </w:rPr>
      </w:pPr>
      <w:r w:rsidRPr="0040544D">
        <w:rPr>
          <w:rFonts w:ascii="Times New Roman" w:hAnsi="Times New Roman" w:cs="Times New Roman"/>
          <w:sz w:val="25"/>
          <w:szCs w:val="25"/>
        </w:rPr>
        <w:t>к постановлению Правительства</w:t>
      </w:r>
    </w:p>
    <w:p w:rsidR="0040544D" w:rsidRPr="0040544D" w:rsidRDefault="0040544D" w:rsidP="0040544D">
      <w:pPr>
        <w:pStyle w:val="ConsPlusNormal"/>
        <w:ind w:left="5529" w:firstLine="0"/>
        <w:jc w:val="both"/>
        <w:rPr>
          <w:rFonts w:cs="Times New Roman"/>
          <w:sz w:val="25"/>
          <w:szCs w:val="25"/>
        </w:rPr>
      </w:pPr>
      <w:r w:rsidRPr="0040544D">
        <w:rPr>
          <w:rFonts w:ascii="Times New Roman" w:hAnsi="Times New Roman" w:cs="Times New Roman"/>
          <w:sz w:val="25"/>
          <w:szCs w:val="25"/>
        </w:rPr>
        <w:t>Республики Карелия</w:t>
      </w:r>
    </w:p>
    <w:p w:rsidR="0040544D" w:rsidRPr="00CC7394" w:rsidRDefault="0040544D" w:rsidP="00CC7394">
      <w:pPr>
        <w:pStyle w:val="ConsPlusNormal"/>
        <w:ind w:left="5529" w:firstLine="0"/>
        <w:jc w:val="both"/>
        <w:rPr>
          <w:rFonts w:cs="Times New Roman"/>
          <w:sz w:val="25"/>
          <w:szCs w:val="25"/>
        </w:rPr>
      </w:pPr>
      <w:r w:rsidRPr="0040544D">
        <w:rPr>
          <w:rFonts w:ascii="Times New Roman" w:hAnsi="Times New Roman" w:cs="Times New Roman"/>
          <w:sz w:val="25"/>
          <w:szCs w:val="25"/>
        </w:rPr>
        <w:t xml:space="preserve">от </w:t>
      </w:r>
      <w:r w:rsidR="0091394A" w:rsidRPr="0091394A">
        <w:rPr>
          <w:rFonts w:ascii="Times New Roman" w:hAnsi="Times New Roman" w:cs="Times New Roman"/>
          <w:sz w:val="25"/>
          <w:szCs w:val="25"/>
        </w:rPr>
        <w:t>8 декабря 2017 года № 433-П</w:t>
      </w:r>
    </w:p>
    <w:p w:rsidR="00CC7394" w:rsidRDefault="00CC7394" w:rsidP="0040544D">
      <w:pPr>
        <w:pStyle w:val="ConsPlusNormal"/>
        <w:ind w:firstLine="0"/>
        <w:jc w:val="center"/>
        <w:rPr>
          <w:rFonts w:ascii="Times New Roman" w:hAnsi="Times New Roman" w:cs="Times New Roman"/>
          <w:color w:val="000000"/>
          <w:sz w:val="25"/>
          <w:szCs w:val="25"/>
        </w:rPr>
      </w:pPr>
    </w:p>
    <w:p w:rsidR="0040544D" w:rsidRPr="0040544D" w:rsidRDefault="0040544D" w:rsidP="0040544D">
      <w:pPr>
        <w:pStyle w:val="ConsPlusNormal"/>
        <w:ind w:firstLine="0"/>
        <w:jc w:val="center"/>
        <w:rPr>
          <w:rFonts w:hAnsi="Liberation Serif" w:cs="Times New Roman"/>
          <w:sz w:val="25"/>
          <w:szCs w:val="25"/>
        </w:rPr>
      </w:pPr>
      <w:r w:rsidRPr="0040544D">
        <w:rPr>
          <w:rFonts w:ascii="Times New Roman" w:hAnsi="Times New Roman" w:cs="Times New Roman"/>
          <w:color w:val="000000"/>
          <w:sz w:val="25"/>
          <w:szCs w:val="25"/>
        </w:rPr>
        <w:t>Распределение</w:t>
      </w:r>
    </w:p>
    <w:p w:rsidR="0040544D" w:rsidRPr="0040544D" w:rsidRDefault="0040544D" w:rsidP="0040544D">
      <w:pPr>
        <w:pStyle w:val="ConsPlusNormal"/>
        <w:ind w:firstLine="0"/>
        <w:jc w:val="center"/>
        <w:rPr>
          <w:rFonts w:cs="Times New Roman"/>
          <w:sz w:val="25"/>
          <w:szCs w:val="25"/>
        </w:rPr>
      </w:pPr>
      <w:r w:rsidRPr="0040544D">
        <w:rPr>
          <w:rFonts w:ascii="Times New Roman" w:hAnsi="Times New Roman" w:cs="Times New Roman"/>
          <w:color w:val="000000"/>
          <w:sz w:val="25"/>
          <w:szCs w:val="25"/>
        </w:rPr>
        <w:t>на 2017 год субсидий местным бюджетам на</w:t>
      </w:r>
      <w:r w:rsidRPr="0040544D">
        <w:rPr>
          <w:rFonts w:ascii="Times New Roman" w:hAnsi="Times New Roman" w:cs="Times New Roman"/>
          <w:b/>
          <w:color w:val="000000"/>
          <w:sz w:val="25"/>
          <w:szCs w:val="25"/>
        </w:rPr>
        <w:t xml:space="preserve"> </w:t>
      </w:r>
      <w:r w:rsidRPr="0040544D">
        <w:rPr>
          <w:rFonts w:ascii="Times New Roman" w:hAnsi="Times New Roman" w:cs="Times New Roman"/>
          <w:color w:val="000000"/>
          <w:sz w:val="25"/>
          <w:szCs w:val="25"/>
        </w:rPr>
        <w:t xml:space="preserve">реализацию мероприятий </w:t>
      </w:r>
      <w:r w:rsidR="00CC7394">
        <w:rPr>
          <w:rFonts w:ascii="Times New Roman" w:hAnsi="Times New Roman" w:cs="Times New Roman"/>
          <w:color w:val="000000"/>
          <w:sz w:val="25"/>
          <w:szCs w:val="25"/>
        </w:rPr>
        <w:br/>
      </w:r>
      <w:r w:rsidRPr="0040544D">
        <w:rPr>
          <w:rFonts w:ascii="Times New Roman" w:hAnsi="Times New Roman" w:cs="Times New Roman"/>
          <w:color w:val="000000"/>
          <w:sz w:val="25"/>
          <w:szCs w:val="25"/>
        </w:rPr>
        <w:t xml:space="preserve">государственной программы Республики Карелия «Развитие культуры» </w:t>
      </w:r>
      <w:r w:rsidRPr="0040544D">
        <w:rPr>
          <w:rFonts w:ascii="Times New Roman" w:hAnsi="Times New Roman" w:cs="Times New Roman"/>
          <w:color w:val="000000"/>
          <w:sz w:val="25"/>
          <w:szCs w:val="25"/>
        </w:rPr>
        <w:br/>
        <w:t xml:space="preserve">(на частичную компенсацию дополнительных расходов на повышение </w:t>
      </w:r>
      <w:r w:rsidRPr="0040544D">
        <w:rPr>
          <w:rFonts w:ascii="Times New Roman" w:hAnsi="Times New Roman" w:cs="Times New Roman"/>
          <w:color w:val="000000"/>
          <w:sz w:val="25"/>
          <w:szCs w:val="25"/>
        </w:rPr>
        <w:br/>
        <w:t>оплаты труда работников муниципальных учреждений культуры)</w:t>
      </w:r>
    </w:p>
    <w:p w:rsidR="0040544D" w:rsidRPr="0040544D" w:rsidRDefault="0040544D" w:rsidP="0040544D">
      <w:pPr>
        <w:pStyle w:val="ConsPlusNormal"/>
        <w:jc w:val="center"/>
        <w:rPr>
          <w:rFonts w:ascii="Times New Roman" w:hAnsi="Times New Roman" w:cs="Times New Roman"/>
          <w:sz w:val="25"/>
          <w:szCs w:val="25"/>
        </w:rPr>
      </w:pPr>
    </w:p>
    <w:p w:rsidR="0040544D" w:rsidRPr="0040544D" w:rsidRDefault="0040544D" w:rsidP="0040544D">
      <w:pPr>
        <w:pStyle w:val="ConsPlusNormal"/>
        <w:ind w:left="7371" w:firstLine="0"/>
        <w:jc w:val="center"/>
        <w:rPr>
          <w:rFonts w:hAnsi="Liberation Serif" w:cs="Times New Roman"/>
          <w:sz w:val="25"/>
          <w:szCs w:val="25"/>
        </w:rPr>
      </w:pPr>
      <w:r w:rsidRPr="0040544D">
        <w:rPr>
          <w:rFonts w:ascii="Times New Roman" w:hAnsi="Times New Roman" w:cs="Times New Roman"/>
          <w:sz w:val="25"/>
          <w:szCs w:val="25"/>
        </w:rPr>
        <w:t>(тыс. рублей)</w:t>
      </w:r>
    </w:p>
    <w:tbl>
      <w:tblPr>
        <w:tblW w:w="9498" w:type="dxa"/>
        <w:tblInd w:w="62" w:type="dxa"/>
        <w:tblLayout w:type="fixed"/>
        <w:tblCellMar>
          <w:left w:w="0" w:type="dxa"/>
          <w:right w:w="0" w:type="dxa"/>
        </w:tblCellMar>
        <w:tblLook w:val="04A0"/>
      </w:tblPr>
      <w:tblGrid>
        <w:gridCol w:w="851"/>
        <w:gridCol w:w="7114"/>
        <w:gridCol w:w="1533"/>
      </w:tblGrid>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CC7394" w:rsidRDefault="0040544D" w:rsidP="0040544D">
            <w:pPr>
              <w:pStyle w:val="ConsPlusNormal"/>
              <w:ind w:firstLine="0"/>
              <w:jc w:val="center"/>
              <w:rPr>
                <w:rFonts w:ascii="Times New Roman" w:hAnsi="Times New Roman" w:cs="Times New Roman"/>
                <w:sz w:val="25"/>
                <w:szCs w:val="25"/>
              </w:rPr>
            </w:pPr>
            <w:r w:rsidRPr="0040544D">
              <w:rPr>
                <w:rFonts w:ascii="Times New Roman" w:hAnsi="Times New Roman" w:cs="Times New Roman"/>
                <w:sz w:val="25"/>
                <w:szCs w:val="25"/>
              </w:rPr>
              <w:t xml:space="preserve">№  </w:t>
            </w:r>
          </w:p>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п/п</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Муниципальное образование</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Сумма</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I.</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Городские округа</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40544D" w:rsidRPr="0040544D" w:rsidRDefault="0040544D" w:rsidP="0040544D">
            <w:pPr>
              <w:pStyle w:val="ConsPlusNormal"/>
              <w:ind w:firstLine="0"/>
              <w:jc w:val="center"/>
              <w:rPr>
                <w:rFonts w:ascii="Times New Roman" w:hAnsi="Times New Roman" w:cs="Times New Roman"/>
                <w:sz w:val="25"/>
                <w:szCs w:val="25"/>
                <w:lang w:eastAsia="zh-CN" w:bidi="hi-IN"/>
              </w:rPr>
            </w:pP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Петрозаводский городской округ</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4496,0</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Костомукшский</w:t>
            </w:r>
            <w:proofErr w:type="spellEnd"/>
            <w:r w:rsidRPr="0040544D">
              <w:rPr>
                <w:rFonts w:ascii="Times New Roman" w:hAnsi="Times New Roman" w:cs="Times New Roman"/>
                <w:sz w:val="25"/>
                <w:szCs w:val="25"/>
              </w:rPr>
              <w:t xml:space="preserve"> городской округ</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2336,9</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II.</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Муниципальные районы</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40544D" w:rsidRPr="0040544D" w:rsidRDefault="0040544D" w:rsidP="0040544D">
            <w:pPr>
              <w:pStyle w:val="ConsPlusNormal"/>
              <w:ind w:firstLine="0"/>
              <w:jc w:val="center"/>
              <w:rPr>
                <w:rFonts w:ascii="Times New Roman" w:hAnsi="Times New Roman" w:cs="Times New Roman"/>
                <w:sz w:val="25"/>
                <w:szCs w:val="25"/>
                <w:lang w:eastAsia="zh-CN" w:bidi="hi-IN"/>
              </w:rPr>
            </w:pP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Беломорский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2811,0</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Калевальский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1625,7</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3.</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Кемский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2912,6</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4.</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Кондопожский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1981,3</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5.</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Лахденпохский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990,6</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6.</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Лоухский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1727,3</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7.</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Медвежьегорский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2327,6</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8.</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Муезерский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1163,8</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9.</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Олонецкий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2108,3</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10.</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Питкярантский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1752,7</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11.</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Прионежский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1473,2</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12.</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Пряжинский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1422,4</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13.</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Пудожский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1690,3</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14.</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Сегежский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3519,2</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15.</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Сортавальский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3987,9</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16.</w:t>
            </w: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proofErr w:type="spellStart"/>
            <w:r w:rsidRPr="0040544D">
              <w:rPr>
                <w:rFonts w:ascii="Times New Roman" w:hAnsi="Times New Roman" w:cs="Times New Roman"/>
                <w:sz w:val="25"/>
                <w:szCs w:val="25"/>
              </w:rPr>
              <w:t>Суоярвский</w:t>
            </w:r>
            <w:proofErr w:type="spellEnd"/>
            <w:r w:rsidRPr="0040544D">
              <w:rPr>
                <w:rFonts w:ascii="Times New Roman" w:hAnsi="Times New Roman" w:cs="Times New Roman"/>
                <w:sz w:val="25"/>
                <w:szCs w:val="25"/>
              </w:rPr>
              <w:t xml:space="preserve"> муниципальный район</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1473,2</w:t>
            </w:r>
          </w:p>
        </w:tc>
      </w:tr>
      <w:tr w:rsidR="0040544D" w:rsidRPr="0040544D" w:rsidTr="0040544D">
        <w:tc>
          <w:tcPr>
            <w:tcW w:w="851"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40544D" w:rsidRPr="0040544D" w:rsidRDefault="0040544D" w:rsidP="0040544D">
            <w:pPr>
              <w:pStyle w:val="ConsPlusNormal"/>
              <w:ind w:firstLine="0"/>
              <w:jc w:val="center"/>
              <w:rPr>
                <w:rFonts w:ascii="Times New Roman" w:hAnsi="Times New Roman" w:cs="Times New Roman"/>
                <w:sz w:val="25"/>
                <w:szCs w:val="25"/>
                <w:lang w:eastAsia="zh-CN" w:bidi="hi-IN"/>
              </w:rPr>
            </w:pPr>
          </w:p>
        </w:tc>
        <w:tc>
          <w:tcPr>
            <w:tcW w:w="711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both"/>
              <w:rPr>
                <w:rFonts w:cs="Times New Roman"/>
                <w:sz w:val="25"/>
                <w:szCs w:val="25"/>
                <w:lang w:eastAsia="zh-CN" w:bidi="hi-IN"/>
              </w:rPr>
            </w:pPr>
            <w:r w:rsidRPr="0040544D">
              <w:rPr>
                <w:rFonts w:ascii="Times New Roman" w:hAnsi="Times New Roman" w:cs="Times New Roman"/>
                <w:sz w:val="25"/>
                <w:szCs w:val="25"/>
              </w:rPr>
              <w:t>Итого</w:t>
            </w:r>
          </w:p>
        </w:tc>
        <w:tc>
          <w:tcPr>
            <w:tcW w:w="15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hideMark/>
          </w:tcPr>
          <w:p w:rsidR="0040544D" w:rsidRPr="0040544D" w:rsidRDefault="0040544D" w:rsidP="0040544D">
            <w:pPr>
              <w:pStyle w:val="ConsPlusNormal"/>
              <w:ind w:firstLine="0"/>
              <w:jc w:val="center"/>
              <w:rPr>
                <w:rFonts w:cs="Times New Roman"/>
                <w:sz w:val="25"/>
                <w:szCs w:val="25"/>
                <w:lang w:eastAsia="zh-CN" w:bidi="hi-IN"/>
              </w:rPr>
            </w:pPr>
            <w:r w:rsidRPr="0040544D">
              <w:rPr>
                <w:rFonts w:ascii="Times New Roman" w:hAnsi="Times New Roman" w:cs="Times New Roman"/>
                <w:sz w:val="25"/>
                <w:szCs w:val="25"/>
              </w:rPr>
              <w:t>39 800,0</w:t>
            </w:r>
          </w:p>
        </w:tc>
      </w:tr>
    </w:tbl>
    <w:p w:rsidR="0040544D" w:rsidRPr="0040544D" w:rsidRDefault="00CC7394" w:rsidP="00CC7394">
      <w:pPr>
        <w:pStyle w:val="ConsPlusNormal"/>
        <w:ind w:firstLine="0"/>
        <w:jc w:val="center"/>
        <w:rPr>
          <w:rFonts w:ascii="Times New Roman" w:hAnsi="Times New Roman" w:cs="Times New Roman"/>
          <w:kern w:val="2"/>
          <w:sz w:val="25"/>
          <w:szCs w:val="25"/>
          <w:lang w:eastAsia="zh-CN" w:bidi="hi-IN"/>
        </w:rPr>
      </w:pPr>
      <w:r>
        <w:rPr>
          <w:rFonts w:ascii="Times New Roman" w:hAnsi="Times New Roman" w:cs="Times New Roman"/>
          <w:kern w:val="2"/>
          <w:sz w:val="25"/>
          <w:szCs w:val="25"/>
          <w:lang w:eastAsia="zh-CN" w:bidi="hi-IN"/>
        </w:rPr>
        <w:t>__________</w:t>
      </w:r>
    </w:p>
    <w:sectPr w:rsidR="0040544D" w:rsidRPr="0040544D" w:rsidSect="00CC7394">
      <w:headerReference w:type="default" r:id="rId9"/>
      <w:pgSz w:w="11906" w:h="16838"/>
      <w:pgMar w:top="567" w:right="567" w:bottom="1134" w:left="155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72641"/>
      <w:docPartObj>
        <w:docPartGallery w:val="Page Numbers (Top of Page)"/>
        <w:docPartUnique/>
      </w:docPartObj>
    </w:sdtPr>
    <w:sdtContent>
      <w:p w:rsidR="00D47749" w:rsidRDefault="003D1E68">
        <w:pPr>
          <w:pStyle w:val="a7"/>
          <w:jc w:val="center"/>
        </w:pPr>
        <w:r>
          <w:fldChar w:fldCharType="begin"/>
        </w:r>
        <w:r w:rsidR="00D47749">
          <w:instrText>PAGE   \* MERGEFORMAT</w:instrText>
        </w:r>
        <w:r>
          <w:fldChar w:fldCharType="separate"/>
        </w:r>
        <w:r w:rsidR="00CC7394">
          <w:rPr>
            <w:noProof/>
          </w:rPr>
          <w:t>3</w:t>
        </w:r>
        <w:r>
          <w:fldChar w:fldCharType="end"/>
        </w:r>
      </w:p>
    </w:sdtContent>
  </w:sdt>
  <w:p w:rsidR="00D47749" w:rsidRDefault="00D477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D1E68"/>
    <w:rsid w:val="003E164F"/>
    <w:rsid w:val="003E6C5B"/>
    <w:rsid w:val="003E6EA6"/>
    <w:rsid w:val="0040544D"/>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7F1AFD"/>
    <w:rsid w:val="008333C2"/>
    <w:rsid w:val="008573B7"/>
    <w:rsid w:val="00860B53"/>
    <w:rsid w:val="00873934"/>
    <w:rsid w:val="00884F2A"/>
    <w:rsid w:val="00887E6D"/>
    <w:rsid w:val="008931A7"/>
    <w:rsid w:val="008951E0"/>
    <w:rsid w:val="008A1AF8"/>
    <w:rsid w:val="008A3180"/>
    <w:rsid w:val="008C5A4D"/>
    <w:rsid w:val="00901FCD"/>
    <w:rsid w:val="0091394A"/>
    <w:rsid w:val="009228A5"/>
    <w:rsid w:val="009238D6"/>
    <w:rsid w:val="00927C66"/>
    <w:rsid w:val="00937743"/>
    <w:rsid w:val="00961BBC"/>
    <w:rsid w:val="009D2DE2"/>
    <w:rsid w:val="009D7E23"/>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2547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C7394"/>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52E51"/>
    <w:rsid w:val="00E775CF"/>
    <w:rsid w:val="00E86860"/>
    <w:rsid w:val="00EA0821"/>
    <w:rsid w:val="00EC4208"/>
    <w:rsid w:val="00EC6C74"/>
    <w:rsid w:val="00ED3468"/>
    <w:rsid w:val="00ED69B7"/>
    <w:rsid w:val="00ED6C2A"/>
    <w:rsid w:val="00F011AE"/>
    <w:rsid w:val="00F039A6"/>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037272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A115-4047-4983-ACB7-1CDF586D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3</cp:revision>
  <cp:lastPrinted>2017-12-08T12:44:00Z</cp:lastPrinted>
  <dcterms:created xsi:type="dcterms:W3CDTF">2017-12-05T08:40:00Z</dcterms:created>
  <dcterms:modified xsi:type="dcterms:W3CDTF">2017-12-08T12:46:00Z</dcterms:modified>
</cp:coreProperties>
</file>