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10625F1" wp14:editId="53EA688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23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C2348">
        <w:t xml:space="preserve"> </w:t>
      </w:r>
      <w:r w:rsidR="004C2348">
        <w:t>12 февраля 2018 года № 10</w:t>
      </w:r>
      <w:r w:rsidR="004C2348">
        <w:t>3</w:t>
      </w:r>
      <w:r w:rsidR="004C234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8F5" w:rsidRDefault="003058F5" w:rsidP="00A66766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A66766" w:rsidRDefault="00A66766" w:rsidP="00A667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E04C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9, пунктом 2 части 1 статьи 26 Градостроительного кодекса Российской Федерации, статьями 7, 10,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 осуществить перевод трех земельных участков общей площадью 18500 кв. м,  расположенных на территории </w:t>
      </w:r>
      <w:proofErr w:type="spellStart"/>
      <w:r>
        <w:rPr>
          <w:sz w:val="28"/>
          <w:szCs w:val="28"/>
        </w:rPr>
        <w:t>Св</w:t>
      </w:r>
      <w:r w:rsidR="001E77BF">
        <w:rPr>
          <w:sz w:val="28"/>
          <w:szCs w:val="28"/>
        </w:rPr>
        <w:t>я</w:t>
      </w:r>
      <w:r>
        <w:rPr>
          <w:sz w:val="28"/>
          <w:szCs w:val="28"/>
        </w:rPr>
        <w:t>тозерского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 Республики Карелия, из состава земель сельскохозяйственного назначения в </w:t>
      </w:r>
      <w:proofErr w:type="gramStart"/>
      <w:r>
        <w:rPr>
          <w:sz w:val="28"/>
          <w:szCs w:val="28"/>
        </w:rPr>
        <w:t>земли</w:t>
      </w:r>
      <w:proofErr w:type="gramEnd"/>
      <w:r>
        <w:rPr>
          <w:sz w:val="28"/>
          <w:szCs w:val="28"/>
        </w:rPr>
        <w:t xml:space="preserve"> особо охраняемых территорий и объектов согласно приложению.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  <w:sectPr w:rsidR="00A6676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66766" w:rsidRDefault="00A66766" w:rsidP="00A66766">
      <w:pPr>
        <w:pStyle w:val="ConsPlusNormal"/>
        <w:ind w:left="4962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A66766" w:rsidRDefault="00A66766" w:rsidP="00A66766">
      <w:pPr>
        <w:pStyle w:val="ConsPlusNormal"/>
        <w:ind w:left="496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A66766" w:rsidRDefault="00A66766" w:rsidP="00A66766">
      <w:pPr>
        <w:pStyle w:val="ConsPlusNormal"/>
        <w:ind w:left="496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4C2348">
        <w:rPr>
          <w:sz w:val="28"/>
          <w:szCs w:val="28"/>
        </w:rPr>
        <w:t xml:space="preserve"> </w:t>
      </w:r>
      <w:bookmarkStart w:id="0" w:name="_GoBack"/>
      <w:r w:rsidR="004C2348" w:rsidRPr="004C2348">
        <w:rPr>
          <w:sz w:val="28"/>
          <w:szCs w:val="28"/>
        </w:rPr>
        <w:t>12 февраля 2018 года № 103</w:t>
      </w:r>
      <w:r w:rsidR="004C2348" w:rsidRPr="004C2348">
        <w:rPr>
          <w:sz w:val="28"/>
          <w:szCs w:val="28"/>
        </w:rPr>
        <w:t>р-П</w:t>
      </w:r>
      <w:bookmarkEnd w:id="0"/>
    </w:p>
    <w:p w:rsidR="00A66766" w:rsidRDefault="00A66766" w:rsidP="00A66766">
      <w:pPr>
        <w:pStyle w:val="ConsPlusNormal"/>
        <w:outlineLvl w:val="0"/>
        <w:rPr>
          <w:sz w:val="28"/>
          <w:szCs w:val="28"/>
        </w:rPr>
      </w:pPr>
    </w:p>
    <w:p w:rsidR="00A66766" w:rsidRDefault="00A66766" w:rsidP="00A66766">
      <w:pPr>
        <w:pStyle w:val="ConsPlusNormal"/>
        <w:outlineLvl w:val="0"/>
        <w:rPr>
          <w:sz w:val="28"/>
          <w:szCs w:val="28"/>
        </w:rPr>
      </w:pPr>
    </w:p>
    <w:p w:rsidR="00A66766" w:rsidRDefault="00A66766" w:rsidP="00A66766">
      <w:pPr>
        <w:pStyle w:val="ConsPlusNormal"/>
        <w:outlineLvl w:val="0"/>
        <w:rPr>
          <w:sz w:val="28"/>
          <w:szCs w:val="28"/>
        </w:rPr>
      </w:pPr>
    </w:p>
    <w:p w:rsidR="00A66766" w:rsidRDefault="00A66766" w:rsidP="00A66766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в отношении которых осуществляется перевод </w:t>
      </w:r>
      <w:r>
        <w:rPr>
          <w:sz w:val="28"/>
          <w:szCs w:val="28"/>
        </w:rPr>
        <w:br/>
        <w:t xml:space="preserve">из состава земель сельскохозяйственного назначения в </w:t>
      </w:r>
      <w:proofErr w:type="gramStart"/>
      <w:r>
        <w:rPr>
          <w:sz w:val="28"/>
          <w:szCs w:val="28"/>
        </w:rPr>
        <w:t>земли</w:t>
      </w:r>
      <w:proofErr w:type="gramEnd"/>
      <w:r>
        <w:rPr>
          <w:sz w:val="28"/>
          <w:szCs w:val="28"/>
        </w:rPr>
        <w:t xml:space="preserve"> особо охраняемых территорий и объектов</w:t>
      </w:r>
    </w:p>
    <w:p w:rsidR="00A66766" w:rsidRDefault="00A66766" w:rsidP="00A66766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4217"/>
      </w:tblGrid>
      <w:tr w:rsidR="00A66766" w:rsidTr="00764940">
        <w:tc>
          <w:tcPr>
            <w:tcW w:w="817" w:type="dxa"/>
          </w:tcPr>
          <w:p w:rsidR="00A66766" w:rsidRDefault="00A66766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66766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A66766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  <w:p w:rsidR="00764940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66766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A66766" w:rsidTr="00764940">
        <w:tc>
          <w:tcPr>
            <w:tcW w:w="817" w:type="dxa"/>
          </w:tcPr>
          <w:p w:rsidR="00A66766" w:rsidRDefault="00A66766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66766" w:rsidRPr="00764940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764940">
              <w:rPr>
                <w:sz w:val="28"/>
                <w:szCs w:val="28"/>
              </w:rPr>
              <w:t>10:21:0120701:209</w:t>
            </w:r>
          </w:p>
        </w:tc>
        <w:tc>
          <w:tcPr>
            <w:tcW w:w="1701" w:type="dxa"/>
          </w:tcPr>
          <w:p w:rsidR="00A66766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4217" w:type="dxa"/>
          </w:tcPr>
          <w:p w:rsidR="00764940" w:rsidRDefault="00764940" w:rsidP="00764940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район, земельный участок расположен в восточной части кадастрового квартала 10:21:12 07 01 </w:t>
            </w:r>
          </w:p>
        </w:tc>
      </w:tr>
      <w:tr w:rsidR="00764940" w:rsidTr="00764940">
        <w:tc>
          <w:tcPr>
            <w:tcW w:w="817" w:type="dxa"/>
          </w:tcPr>
          <w:p w:rsidR="00764940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64940" w:rsidRPr="00764940" w:rsidRDefault="00764940" w:rsidP="00ED0D6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764940">
              <w:rPr>
                <w:sz w:val="28"/>
                <w:szCs w:val="28"/>
              </w:rPr>
              <w:t>10:21:0120701:2</w:t>
            </w:r>
            <w:r>
              <w:rPr>
                <w:sz w:val="28"/>
                <w:szCs w:val="28"/>
              </w:rPr>
              <w:t>1</w:t>
            </w:r>
            <w:r w:rsidRPr="0076494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64940" w:rsidRDefault="00764940" w:rsidP="00ED0D6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4217" w:type="dxa"/>
          </w:tcPr>
          <w:p w:rsidR="00764940" w:rsidRDefault="00764940" w:rsidP="00764940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район, земельный участок расположен в восточной части кадастрового квартала 10:21:12 07 01 </w:t>
            </w:r>
          </w:p>
        </w:tc>
      </w:tr>
      <w:tr w:rsidR="00764940" w:rsidTr="00764940">
        <w:tc>
          <w:tcPr>
            <w:tcW w:w="817" w:type="dxa"/>
          </w:tcPr>
          <w:p w:rsidR="00764940" w:rsidRDefault="00764940" w:rsidP="00A66766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64940" w:rsidRPr="00764940" w:rsidRDefault="00764940" w:rsidP="00ED0D6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764940">
              <w:rPr>
                <w:sz w:val="28"/>
                <w:szCs w:val="28"/>
              </w:rPr>
              <w:t>10:21:0120701:</w:t>
            </w:r>
            <w:r>
              <w:rPr>
                <w:sz w:val="28"/>
                <w:szCs w:val="28"/>
              </w:rPr>
              <w:t>368</w:t>
            </w:r>
          </w:p>
        </w:tc>
        <w:tc>
          <w:tcPr>
            <w:tcW w:w="1701" w:type="dxa"/>
          </w:tcPr>
          <w:p w:rsidR="00764940" w:rsidRDefault="00764940" w:rsidP="00ED0D6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4217" w:type="dxa"/>
          </w:tcPr>
          <w:p w:rsidR="00764940" w:rsidRDefault="00764940" w:rsidP="00764940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район, земельный участок расположен в восточной части кадастрового квартала 10:21:12 07 01 </w:t>
            </w:r>
          </w:p>
        </w:tc>
      </w:tr>
    </w:tbl>
    <w:p w:rsidR="00A66766" w:rsidRPr="00A66766" w:rsidRDefault="00A66766" w:rsidP="00A66766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A66766" w:rsidRDefault="00764940" w:rsidP="00764940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</w:t>
      </w: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66766" w:rsidRDefault="00A66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A66766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6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77BF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8F5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348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4940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04C3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6766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6150-A0BD-40D1-819C-DD3E1AF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2018-02-06T13:02:00Z</cp:lastPrinted>
  <dcterms:created xsi:type="dcterms:W3CDTF">2018-02-05T08:32:00Z</dcterms:created>
  <dcterms:modified xsi:type="dcterms:W3CDTF">2018-02-13T09:23:00Z</dcterms:modified>
</cp:coreProperties>
</file>