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</w:t>
      </w:r>
      <w:bookmarkStart w:id="0" w:name="_GoBack"/>
      <w:bookmarkEnd w:id="0"/>
      <w:r>
        <w:rPr>
          <w:noProof/>
          <w:spacing w:val="30"/>
          <w:sz w:val="32"/>
        </w:rPr>
        <w:t>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E0D3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E0D30">
        <w:t>3 апреля 2018 года № 264р-П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D389A" w:rsidRDefault="009D389A" w:rsidP="009D389A">
      <w:pPr>
        <w:spacing w:after="120"/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Градостроительного кодекса Российской Федерации, статьями 13 и 15 Федерального закона от 21 декабря 2004 года   № 172-ФЗ «О переводе земель или земельных участков из одной категории в другую», на основании ходатайства АО «</w:t>
      </w:r>
      <w:proofErr w:type="spellStart"/>
      <w:r>
        <w:rPr>
          <w:szCs w:val="28"/>
        </w:rPr>
        <w:t>Прионежская</w:t>
      </w:r>
      <w:proofErr w:type="spellEnd"/>
      <w:r>
        <w:rPr>
          <w:szCs w:val="28"/>
        </w:rPr>
        <w:t xml:space="preserve"> сетевая компания» осуществить перевод земельного участка с кадастровым номером 10:20:0015514:1333,  площадью 54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Российская Федерация, 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муниципальный район), из состава земель запаса в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земельного иного специального назначения.</w:t>
      </w:r>
      <w:proofErr w:type="gramEnd"/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0D30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389A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4291-9CCC-47CF-921C-310F1C44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2018-04-03T12:14:00Z</cp:lastPrinted>
  <dcterms:created xsi:type="dcterms:W3CDTF">2018-03-29T11:44:00Z</dcterms:created>
  <dcterms:modified xsi:type="dcterms:W3CDTF">2018-04-03T12:14:00Z</dcterms:modified>
</cp:coreProperties>
</file>