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402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0CEC">
        <w:t>8 апреля 2019 года № 253р-П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72D2A" w:rsidRDefault="00472D2A" w:rsidP="009C69FE">
      <w:pPr>
        <w:spacing w:after="120"/>
        <w:ind w:right="140" w:firstLine="720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Внести в перечень межбюджетных трансфертов из бюджета Республики Карелия местным бюджетам, предоставление которых в                     2019 году осуществляется в пределах сумм, необходимых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</w:t>
      </w:r>
      <w:r w:rsidR="004A0550"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 xml:space="preserve"> трансферты, утвержденный распоряжением Правительства Республики Карелия от 26 декабря 2018 года № 870р-П</w:t>
      </w:r>
      <w:r w:rsidR="00E827AA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с изменениями, внесенными распоряжениями Правительства Республики Карелия </w:t>
      </w:r>
      <w:r w:rsidR="00E827AA">
        <w:rPr>
          <w:rFonts w:eastAsiaTheme="minorHAnsi"/>
          <w:szCs w:val="28"/>
          <w:lang w:eastAsia="en-US"/>
        </w:rPr>
        <w:t xml:space="preserve">                                 </w:t>
      </w:r>
      <w:r>
        <w:rPr>
          <w:rFonts w:eastAsiaTheme="minorHAnsi"/>
          <w:szCs w:val="28"/>
          <w:lang w:eastAsia="en-US"/>
        </w:rPr>
        <w:t>от 2</w:t>
      </w:r>
      <w:r w:rsidR="00E827AA">
        <w:rPr>
          <w:rFonts w:eastAsiaTheme="minorHAnsi"/>
          <w:szCs w:val="28"/>
          <w:lang w:eastAsia="en-US"/>
        </w:rPr>
        <w:t>5 февраля</w:t>
      </w:r>
      <w:proofErr w:type="gramEnd"/>
      <w:r>
        <w:rPr>
          <w:rFonts w:eastAsiaTheme="minorHAnsi"/>
          <w:szCs w:val="28"/>
          <w:lang w:eastAsia="en-US"/>
        </w:rPr>
        <w:t xml:space="preserve"> 201</w:t>
      </w:r>
      <w:r w:rsidR="00E827AA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 года № </w:t>
      </w:r>
      <w:r w:rsidR="00E827AA">
        <w:rPr>
          <w:rFonts w:eastAsiaTheme="minorHAnsi"/>
          <w:szCs w:val="28"/>
          <w:lang w:eastAsia="en-US"/>
        </w:rPr>
        <w:t>155</w:t>
      </w:r>
      <w:r>
        <w:rPr>
          <w:rFonts w:eastAsiaTheme="minorHAnsi"/>
          <w:szCs w:val="28"/>
          <w:lang w:eastAsia="en-US"/>
        </w:rPr>
        <w:t xml:space="preserve">р-П,  </w:t>
      </w:r>
      <w:r>
        <w:rPr>
          <w:rFonts w:eastAsiaTheme="minorHAnsi"/>
          <w:szCs w:val="28"/>
        </w:rPr>
        <w:t xml:space="preserve">от </w:t>
      </w:r>
      <w:r w:rsidR="00E827AA">
        <w:rPr>
          <w:rFonts w:eastAsiaTheme="minorHAnsi"/>
          <w:szCs w:val="28"/>
        </w:rPr>
        <w:t>1 марта 2019</w:t>
      </w:r>
      <w:r>
        <w:rPr>
          <w:rFonts w:eastAsiaTheme="minorHAnsi"/>
          <w:szCs w:val="28"/>
        </w:rPr>
        <w:t xml:space="preserve"> года № </w:t>
      </w:r>
      <w:r w:rsidR="00E827AA">
        <w:rPr>
          <w:rFonts w:eastAsiaTheme="minorHAnsi"/>
          <w:szCs w:val="28"/>
        </w:rPr>
        <w:t>176</w:t>
      </w:r>
      <w:r>
        <w:rPr>
          <w:rFonts w:eastAsiaTheme="minorHAnsi"/>
          <w:szCs w:val="28"/>
        </w:rPr>
        <w:t xml:space="preserve">р-П,      изменение, дополнив </w:t>
      </w:r>
      <w:r w:rsidR="00E827AA">
        <w:rPr>
          <w:rFonts w:eastAsiaTheme="minorHAnsi"/>
          <w:szCs w:val="28"/>
        </w:rPr>
        <w:t>его пунктом 49</w:t>
      </w:r>
      <w:r>
        <w:rPr>
          <w:rFonts w:eastAsiaTheme="minorHAnsi"/>
          <w:szCs w:val="28"/>
        </w:rPr>
        <w:t xml:space="preserve"> следующего содержания:</w:t>
      </w:r>
    </w:p>
    <w:tbl>
      <w:tblPr>
        <w:tblStyle w:val="ac"/>
        <w:tblW w:w="0" w:type="auto"/>
        <w:tblLayout w:type="fixed"/>
        <w:tblLook w:val="04A0"/>
      </w:tblPr>
      <w:tblGrid>
        <w:gridCol w:w="496"/>
        <w:gridCol w:w="605"/>
        <w:gridCol w:w="4836"/>
        <w:gridCol w:w="3068"/>
        <w:gridCol w:w="566"/>
      </w:tblGrid>
      <w:tr w:rsidR="009C69FE" w:rsidTr="009C69FE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9FE" w:rsidRDefault="009C69FE" w:rsidP="009C69FE">
            <w:pPr>
              <w:ind w:right="14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«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9C69FE" w:rsidRDefault="009C69FE" w:rsidP="009C69FE">
            <w:pPr>
              <w:ind w:right="-108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49.</w:t>
            </w:r>
          </w:p>
        </w:tc>
        <w:tc>
          <w:tcPr>
            <w:tcW w:w="4836" w:type="dxa"/>
          </w:tcPr>
          <w:p w:rsidR="009C69FE" w:rsidRDefault="009C69FE" w:rsidP="009C69FE">
            <w:pPr>
              <w:ind w:right="14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Иные межбюджетные трансферты на реализацию мероприятий по финансовому обеспечению дорож</w:t>
            </w:r>
            <w:r w:rsidR="00831931">
              <w:rPr>
                <w:rFonts w:eastAsiaTheme="minorHAnsi"/>
                <w:szCs w:val="28"/>
              </w:rPr>
              <w:t>-</w:t>
            </w:r>
            <w:r>
              <w:rPr>
                <w:rFonts w:eastAsiaTheme="minorHAnsi"/>
                <w:szCs w:val="28"/>
              </w:rPr>
              <w:t>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9C69FE" w:rsidRDefault="009C69FE" w:rsidP="009C69FE">
            <w:pPr>
              <w:ind w:right="14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69FE" w:rsidRDefault="009C69FE" w:rsidP="009C69FE">
            <w:pPr>
              <w:ind w:right="140"/>
              <w:jc w:val="righ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».</w:t>
            </w:r>
          </w:p>
        </w:tc>
      </w:tr>
    </w:tbl>
    <w:p w:rsidR="003C3715" w:rsidRDefault="003C3715" w:rsidP="009C69FE">
      <w:pPr>
        <w:autoSpaceDE w:val="0"/>
        <w:autoSpaceDN w:val="0"/>
        <w:adjustRightInd w:val="0"/>
        <w:spacing w:after="120"/>
        <w:ind w:right="142" w:firstLine="993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7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75478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3D66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2D2A"/>
    <w:rsid w:val="00476C38"/>
    <w:rsid w:val="00485657"/>
    <w:rsid w:val="00485D63"/>
    <w:rsid w:val="004966A9"/>
    <w:rsid w:val="00497715"/>
    <w:rsid w:val="004A0550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5478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1931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1DB"/>
    <w:rsid w:val="008C7E7F"/>
    <w:rsid w:val="008D5EBA"/>
    <w:rsid w:val="008D7DBE"/>
    <w:rsid w:val="008E454A"/>
    <w:rsid w:val="008E4D37"/>
    <w:rsid w:val="008F0CEC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C69FE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A786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27AA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02AA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90F2-ABC6-454B-B4B0-656D20DA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2019-04-11T11:04:00Z</cp:lastPrinted>
  <dcterms:created xsi:type="dcterms:W3CDTF">2019-04-09T06:11:00Z</dcterms:created>
  <dcterms:modified xsi:type="dcterms:W3CDTF">2019-04-11T11:05:00Z</dcterms:modified>
</cp:coreProperties>
</file>