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42D01" w:rsidRPr="00E42D0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B132C8">
        <w:t xml:space="preserve"> </w:t>
      </w:r>
      <w:r>
        <w:t xml:space="preserve"> </w:t>
      </w:r>
      <w:r w:rsidR="00B132C8">
        <w:t>о</w:t>
      </w:r>
      <w:r w:rsidR="00307849">
        <w:t xml:space="preserve">т </w:t>
      </w:r>
      <w:r w:rsidR="00ED6C2A">
        <w:t xml:space="preserve"> </w:t>
      </w:r>
      <w:r w:rsidR="00B132C8">
        <w:t>25 сентября 2018 года № 354-П</w:t>
      </w:r>
    </w:p>
    <w:p w:rsidR="00EC6C74" w:rsidRDefault="00307849" w:rsidP="00A96AFD">
      <w:pPr>
        <w:spacing w:before="240" w:after="240"/>
        <w:ind w:left="-142"/>
        <w:jc w:val="center"/>
      </w:pPr>
      <w:r>
        <w:t>г.</w:t>
      </w:r>
      <w:r w:rsidR="00E4256C">
        <w:t xml:space="preserve"> </w:t>
      </w:r>
      <w:r>
        <w:t xml:space="preserve">Петрозаводск </w:t>
      </w:r>
    </w:p>
    <w:p w:rsidR="00A90913" w:rsidRDefault="00A90913" w:rsidP="00A90913">
      <w:pPr>
        <w:autoSpaceDE w:val="0"/>
        <w:autoSpaceDN w:val="0"/>
        <w:adjustRightInd w:val="0"/>
        <w:jc w:val="center"/>
        <w:outlineLvl w:val="0"/>
        <w:rPr>
          <w:rFonts w:eastAsia="Calibri"/>
          <w:b/>
          <w:bCs/>
          <w:szCs w:val="28"/>
        </w:rPr>
      </w:pPr>
      <w:r>
        <w:rPr>
          <w:rFonts w:eastAsia="Calibri"/>
          <w:b/>
          <w:bCs/>
          <w:szCs w:val="28"/>
        </w:rPr>
        <w:t xml:space="preserve">О внесении изменений в постановление Правительства </w:t>
      </w:r>
    </w:p>
    <w:p w:rsidR="00A90913" w:rsidRDefault="00A90913" w:rsidP="00A90913">
      <w:pPr>
        <w:autoSpaceDE w:val="0"/>
        <w:autoSpaceDN w:val="0"/>
        <w:adjustRightInd w:val="0"/>
        <w:jc w:val="center"/>
        <w:outlineLvl w:val="0"/>
        <w:rPr>
          <w:rFonts w:eastAsia="Calibri"/>
          <w:b/>
          <w:bCs/>
          <w:szCs w:val="28"/>
        </w:rPr>
      </w:pPr>
      <w:r>
        <w:rPr>
          <w:rFonts w:eastAsia="Calibri"/>
          <w:b/>
          <w:bCs/>
          <w:szCs w:val="28"/>
        </w:rPr>
        <w:t>Республики Карелия от 23 января 2017 года № 25-П</w:t>
      </w:r>
    </w:p>
    <w:p w:rsidR="00A90913" w:rsidRDefault="00A90913" w:rsidP="00A90913">
      <w:pPr>
        <w:autoSpaceDE w:val="0"/>
        <w:autoSpaceDN w:val="0"/>
        <w:adjustRightInd w:val="0"/>
        <w:jc w:val="center"/>
        <w:outlineLvl w:val="0"/>
        <w:rPr>
          <w:rFonts w:eastAsia="Calibri"/>
          <w:b/>
          <w:bCs/>
          <w:szCs w:val="28"/>
        </w:rPr>
      </w:pPr>
    </w:p>
    <w:p w:rsidR="00A90913" w:rsidRDefault="00A90913" w:rsidP="00A90913">
      <w:pPr>
        <w:autoSpaceDE w:val="0"/>
        <w:autoSpaceDN w:val="0"/>
        <w:adjustRightInd w:val="0"/>
        <w:ind w:firstLine="540"/>
        <w:jc w:val="both"/>
        <w:rPr>
          <w:rFonts w:eastAsiaTheme="minorHAnsi"/>
          <w:szCs w:val="28"/>
        </w:rPr>
      </w:pPr>
      <w:r>
        <w:rPr>
          <w:szCs w:val="28"/>
        </w:rPr>
        <w:t xml:space="preserve">Правительство Республики Карелия </w:t>
      </w:r>
      <w:r w:rsidRPr="00FB139A">
        <w:rPr>
          <w:b/>
          <w:szCs w:val="28"/>
        </w:rPr>
        <w:t>п</w:t>
      </w:r>
      <w:r w:rsidR="00FB139A">
        <w:rPr>
          <w:b/>
          <w:szCs w:val="28"/>
        </w:rPr>
        <w:t xml:space="preserve"> </w:t>
      </w:r>
      <w:r w:rsidRPr="00FB139A">
        <w:rPr>
          <w:b/>
          <w:szCs w:val="28"/>
        </w:rPr>
        <w:t>о</w:t>
      </w:r>
      <w:r w:rsidR="00FB139A">
        <w:rPr>
          <w:b/>
          <w:szCs w:val="28"/>
        </w:rPr>
        <w:t xml:space="preserve"> </w:t>
      </w:r>
      <w:r w:rsidRPr="00FB139A">
        <w:rPr>
          <w:b/>
          <w:szCs w:val="28"/>
        </w:rPr>
        <w:t>с</w:t>
      </w:r>
      <w:r w:rsidR="00FB139A">
        <w:rPr>
          <w:b/>
          <w:szCs w:val="28"/>
        </w:rPr>
        <w:t xml:space="preserve"> </w:t>
      </w:r>
      <w:r w:rsidRPr="00FB139A">
        <w:rPr>
          <w:b/>
          <w:szCs w:val="28"/>
        </w:rPr>
        <w:t>т</w:t>
      </w:r>
      <w:r w:rsidR="00FB139A">
        <w:rPr>
          <w:b/>
          <w:szCs w:val="28"/>
        </w:rPr>
        <w:t xml:space="preserve"> </w:t>
      </w:r>
      <w:r w:rsidRPr="00FB139A">
        <w:rPr>
          <w:b/>
          <w:szCs w:val="28"/>
        </w:rPr>
        <w:t>а</w:t>
      </w:r>
      <w:r w:rsidR="00FB139A">
        <w:rPr>
          <w:b/>
          <w:szCs w:val="28"/>
        </w:rPr>
        <w:t xml:space="preserve"> </w:t>
      </w:r>
      <w:proofErr w:type="spellStart"/>
      <w:r w:rsidRPr="00FB139A">
        <w:rPr>
          <w:b/>
          <w:szCs w:val="28"/>
        </w:rPr>
        <w:t>н</w:t>
      </w:r>
      <w:proofErr w:type="spellEnd"/>
      <w:r w:rsidR="00FB139A">
        <w:rPr>
          <w:b/>
          <w:szCs w:val="28"/>
        </w:rPr>
        <w:t xml:space="preserve"> </w:t>
      </w:r>
      <w:r w:rsidRPr="00FB139A">
        <w:rPr>
          <w:b/>
          <w:szCs w:val="28"/>
        </w:rPr>
        <w:t>о</w:t>
      </w:r>
      <w:r w:rsidR="00FB139A">
        <w:rPr>
          <w:b/>
          <w:szCs w:val="28"/>
        </w:rPr>
        <w:t xml:space="preserve"> </w:t>
      </w:r>
      <w:r w:rsidRPr="00FB139A">
        <w:rPr>
          <w:b/>
          <w:szCs w:val="28"/>
        </w:rPr>
        <w:t>в</w:t>
      </w:r>
      <w:r w:rsidR="00FB139A">
        <w:rPr>
          <w:b/>
          <w:szCs w:val="28"/>
        </w:rPr>
        <w:t xml:space="preserve"> </w:t>
      </w:r>
      <w:r w:rsidRPr="00FB139A">
        <w:rPr>
          <w:b/>
          <w:szCs w:val="28"/>
        </w:rPr>
        <w:t>л</w:t>
      </w:r>
      <w:r w:rsidR="00FB139A">
        <w:rPr>
          <w:b/>
          <w:szCs w:val="28"/>
        </w:rPr>
        <w:t xml:space="preserve"> </w:t>
      </w:r>
      <w:r w:rsidRPr="00FB139A">
        <w:rPr>
          <w:b/>
          <w:szCs w:val="28"/>
        </w:rPr>
        <w:t>я</w:t>
      </w:r>
      <w:r w:rsidR="00FB139A">
        <w:rPr>
          <w:b/>
          <w:szCs w:val="28"/>
        </w:rPr>
        <w:t xml:space="preserve"> </w:t>
      </w:r>
      <w:r w:rsidRPr="00FB139A">
        <w:rPr>
          <w:b/>
          <w:szCs w:val="28"/>
        </w:rPr>
        <w:t>е</w:t>
      </w:r>
      <w:r w:rsidR="00FB139A">
        <w:rPr>
          <w:b/>
          <w:szCs w:val="28"/>
        </w:rPr>
        <w:t xml:space="preserve"> </w:t>
      </w:r>
      <w:r w:rsidRPr="00FB139A">
        <w:rPr>
          <w:b/>
          <w:szCs w:val="28"/>
        </w:rPr>
        <w:t>т</w:t>
      </w:r>
      <w:r>
        <w:rPr>
          <w:szCs w:val="28"/>
        </w:rPr>
        <w:t>:</w:t>
      </w:r>
    </w:p>
    <w:p w:rsidR="00A90913" w:rsidRDefault="00A90913" w:rsidP="00A90913">
      <w:pPr>
        <w:autoSpaceDE w:val="0"/>
        <w:autoSpaceDN w:val="0"/>
        <w:adjustRightInd w:val="0"/>
        <w:ind w:firstLine="540"/>
        <w:jc w:val="both"/>
        <w:rPr>
          <w:szCs w:val="28"/>
        </w:rPr>
      </w:pPr>
      <w:r>
        <w:rPr>
          <w:szCs w:val="28"/>
        </w:rPr>
        <w:t>Внести в Порядок предоставления из бюджета Республики Карелия дотаций на поддержку мер по обеспечению сбалансированности бюджетов муниципальных образований, утвержденный  постановлением Правительства Республики Карелия от 23 января  2017 года № 25-П «О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 (Собрание законодательства Республики Карелия, 2017, № 1, ст. 66; № 7, ст.</w:t>
      </w:r>
      <w:r w:rsidR="009C6F0A">
        <w:rPr>
          <w:szCs w:val="28"/>
        </w:rPr>
        <w:t xml:space="preserve"> </w:t>
      </w:r>
      <w:r>
        <w:rPr>
          <w:szCs w:val="28"/>
        </w:rPr>
        <w:t>1357; 2018, № 1, ст.</w:t>
      </w:r>
      <w:r w:rsidR="009C6F0A">
        <w:rPr>
          <w:szCs w:val="28"/>
        </w:rPr>
        <w:t xml:space="preserve"> </w:t>
      </w:r>
      <w:r>
        <w:rPr>
          <w:szCs w:val="28"/>
        </w:rPr>
        <w:t>55)</w:t>
      </w:r>
      <w:r w:rsidR="009C6F0A">
        <w:rPr>
          <w:szCs w:val="28"/>
        </w:rPr>
        <w:t>,</w:t>
      </w:r>
      <w:r>
        <w:rPr>
          <w:szCs w:val="28"/>
        </w:rPr>
        <w:t xml:space="preserve"> следующие изменения: </w:t>
      </w:r>
    </w:p>
    <w:p w:rsidR="00A90913" w:rsidRDefault="00A90913" w:rsidP="00A90913">
      <w:pPr>
        <w:pStyle w:val="ac"/>
        <w:numPr>
          <w:ilvl w:val="0"/>
          <w:numId w:val="18"/>
        </w:numPr>
        <w:tabs>
          <w:tab w:val="left" w:pos="993"/>
        </w:tabs>
        <w:autoSpaceDE w:val="0"/>
        <w:autoSpaceDN w:val="0"/>
        <w:adjustRightInd w:val="0"/>
        <w:ind w:left="0" w:firstLine="540"/>
        <w:jc w:val="both"/>
        <w:rPr>
          <w:szCs w:val="28"/>
        </w:rPr>
      </w:pPr>
      <w:r>
        <w:rPr>
          <w:szCs w:val="28"/>
        </w:rPr>
        <w:t>подпункт 1 пункта 2  дополнить абзацем следующего содержания:</w:t>
      </w:r>
    </w:p>
    <w:p w:rsidR="00A90913" w:rsidRDefault="00A90913" w:rsidP="00A90913">
      <w:pPr>
        <w:pStyle w:val="ac"/>
        <w:tabs>
          <w:tab w:val="left" w:pos="993"/>
        </w:tabs>
        <w:autoSpaceDE w:val="0"/>
        <w:autoSpaceDN w:val="0"/>
        <w:adjustRightInd w:val="0"/>
        <w:ind w:left="0" w:firstLine="540"/>
        <w:jc w:val="both"/>
        <w:rPr>
          <w:szCs w:val="28"/>
        </w:rPr>
      </w:pPr>
      <w:r>
        <w:rPr>
          <w:szCs w:val="28"/>
        </w:rPr>
        <w:t>«обеспечению первоочередного направления дотации на погашение просроченной кредиторской задолженности по начислениям на выплаты по оплате труда работникам муниципальных учреждений и по оплате коммунальных услуг муниципальными учреждениями, а также своевременному исполнению судебных актов, предусматривающих обращение взыскания на средства местного бюджета по денежным обязательствам муниципальных учреждений</w:t>
      </w:r>
      <w:r w:rsidR="009C6F0A">
        <w:rPr>
          <w:szCs w:val="28"/>
        </w:rPr>
        <w:t>;</w:t>
      </w:r>
      <w:r>
        <w:rPr>
          <w:szCs w:val="28"/>
        </w:rPr>
        <w:t>»;</w:t>
      </w:r>
    </w:p>
    <w:p w:rsidR="00A90913" w:rsidRDefault="00A90913" w:rsidP="00A90913">
      <w:pPr>
        <w:pStyle w:val="ac"/>
        <w:numPr>
          <w:ilvl w:val="0"/>
          <w:numId w:val="18"/>
        </w:numPr>
        <w:tabs>
          <w:tab w:val="left" w:pos="993"/>
        </w:tabs>
        <w:autoSpaceDE w:val="0"/>
        <w:autoSpaceDN w:val="0"/>
        <w:adjustRightInd w:val="0"/>
        <w:ind w:left="0" w:firstLine="540"/>
        <w:jc w:val="both"/>
        <w:rPr>
          <w:szCs w:val="28"/>
        </w:rPr>
      </w:pPr>
      <w:r>
        <w:rPr>
          <w:szCs w:val="28"/>
        </w:rPr>
        <w:t>пункт 3 изложить в следующей редакции:</w:t>
      </w:r>
    </w:p>
    <w:p w:rsidR="00A90913" w:rsidRDefault="009C6F0A" w:rsidP="00A90913">
      <w:pPr>
        <w:pStyle w:val="ac"/>
        <w:tabs>
          <w:tab w:val="left" w:pos="993"/>
        </w:tabs>
        <w:autoSpaceDE w:val="0"/>
        <w:autoSpaceDN w:val="0"/>
        <w:adjustRightInd w:val="0"/>
        <w:ind w:left="0" w:firstLine="540"/>
        <w:jc w:val="both"/>
        <w:rPr>
          <w:szCs w:val="28"/>
        </w:rPr>
      </w:pPr>
      <w:r>
        <w:rPr>
          <w:szCs w:val="28"/>
        </w:rPr>
        <w:t>«</w:t>
      </w:r>
      <w:r w:rsidR="00A90913">
        <w:rPr>
          <w:szCs w:val="28"/>
        </w:rPr>
        <w:t>3. Размер дотации бюджету соответствующего муниципального района (городского округа) (</w:t>
      </w:r>
      <w:proofErr w:type="spellStart"/>
      <w:r w:rsidR="00A90913">
        <w:rPr>
          <w:szCs w:val="28"/>
        </w:rPr>
        <w:t>Дij</w:t>
      </w:r>
      <w:proofErr w:type="spellEnd"/>
      <w:r w:rsidR="00A90913">
        <w:rPr>
          <w:szCs w:val="28"/>
        </w:rPr>
        <w:t>) рассчитывается по следующей формуле:</w:t>
      </w:r>
    </w:p>
    <w:p w:rsidR="00A90913" w:rsidRDefault="00A90913" w:rsidP="00A90913">
      <w:pPr>
        <w:pStyle w:val="ac"/>
        <w:tabs>
          <w:tab w:val="left" w:pos="993"/>
        </w:tabs>
        <w:autoSpaceDE w:val="0"/>
        <w:autoSpaceDN w:val="0"/>
        <w:adjustRightInd w:val="0"/>
        <w:ind w:left="0" w:firstLine="540"/>
        <w:jc w:val="both"/>
        <w:rPr>
          <w:sz w:val="16"/>
          <w:szCs w:val="16"/>
        </w:rPr>
      </w:pPr>
    </w:p>
    <w:p w:rsidR="00A90913" w:rsidRDefault="00A90913" w:rsidP="00A90913">
      <w:pPr>
        <w:pStyle w:val="ac"/>
        <w:tabs>
          <w:tab w:val="left" w:pos="993"/>
        </w:tabs>
        <w:autoSpaceDE w:val="0"/>
        <w:autoSpaceDN w:val="0"/>
        <w:adjustRightInd w:val="0"/>
        <w:ind w:left="0"/>
        <w:jc w:val="center"/>
        <w:rPr>
          <w:szCs w:val="28"/>
        </w:rPr>
      </w:pPr>
      <w:proofErr w:type="spellStart"/>
      <w:r>
        <w:rPr>
          <w:szCs w:val="28"/>
        </w:rPr>
        <w:t>Дij</w:t>
      </w:r>
      <w:proofErr w:type="spellEnd"/>
      <w:r>
        <w:rPr>
          <w:szCs w:val="28"/>
        </w:rPr>
        <w:t xml:space="preserve"> = (</w:t>
      </w:r>
      <w:proofErr w:type="spellStart"/>
      <w:r>
        <w:rPr>
          <w:szCs w:val="28"/>
        </w:rPr>
        <w:t>Дj</w:t>
      </w:r>
      <w:proofErr w:type="spellEnd"/>
      <w:r>
        <w:rPr>
          <w:szCs w:val="28"/>
        </w:rPr>
        <w:t xml:space="preserve"> + Д</w:t>
      </w:r>
      <w:r>
        <w:rPr>
          <w:szCs w:val="28"/>
          <w:vertAlign w:val="subscript"/>
        </w:rPr>
        <w:t>2</w:t>
      </w:r>
      <w:r>
        <w:rPr>
          <w:szCs w:val="28"/>
        </w:rPr>
        <w:t xml:space="preserve"> - SUM Д1ij) </w:t>
      </w:r>
      <w:proofErr w:type="spellStart"/>
      <w:r>
        <w:rPr>
          <w:szCs w:val="28"/>
        </w:rPr>
        <w:t>x</w:t>
      </w:r>
      <w:proofErr w:type="spellEnd"/>
      <w:r>
        <w:rPr>
          <w:szCs w:val="28"/>
        </w:rPr>
        <w:t xml:space="preserve"> ((</w:t>
      </w:r>
      <w:proofErr w:type="spellStart"/>
      <w:r>
        <w:rPr>
          <w:szCs w:val="28"/>
        </w:rPr>
        <w:t>Vi</w:t>
      </w:r>
      <w:proofErr w:type="spellEnd"/>
      <w:r>
        <w:rPr>
          <w:szCs w:val="28"/>
        </w:rPr>
        <w:t xml:space="preserve"> - Д1ij) / SUM (</w:t>
      </w:r>
      <w:proofErr w:type="spellStart"/>
      <w:r>
        <w:rPr>
          <w:szCs w:val="28"/>
        </w:rPr>
        <w:t>Vi</w:t>
      </w:r>
      <w:proofErr w:type="spellEnd"/>
      <w:r>
        <w:rPr>
          <w:szCs w:val="28"/>
        </w:rPr>
        <w:t xml:space="preserve"> - Д1ij)) + Д1ij,</w:t>
      </w:r>
    </w:p>
    <w:p w:rsidR="00A90913" w:rsidRDefault="00A90913" w:rsidP="00A90913">
      <w:pPr>
        <w:pStyle w:val="ac"/>
        <w:tabs>
          <w:tab w:val="left" w:pos="993"/>
        </w:tabs>
        <w:autoSpaceDE w:val="0"/>
        <w:autoSpaceDN w:val="0"/>
        <w:adjustRightInd w:val="0"/>
        <w:ind w:left="0" w:firstLine="540"/>
        <w:jc w:val="both"/>
        <w:rPr>
          <w:sz w:val="16"/>
          <w:szCs w:val="16"/>
        </w:rPr>
      </w:pPr>
    </w:p>
    <w:p w:rsidR="00A90913" w:rsidRDefault="00A90913" w:rsidP="00A90913">
      <w:pPr>
        <w:pStyle w:val="ac"/>
        <w:tabs>
          <w:tab w:val="left" w:pos="993"/>
        </w:tabs>
        <w:autoSpaceDE w:val="0"/>
        <w:autoSpaceDN w:val="0"/>
        <w:adjustRightInd w:val="0"/>
        <w:ind w:left="0" w:firstLine="540"/>
        <w:jc w:val="both"/>
        <w:rPr>
          <w:szCs w:val="28"/>
        </w:rPr>
      </w:pPr>
      <w:r>
        <w:rPr>
          <w:szCs w:val="28"/>
        </w:rPr>
        <w:t>где:</w:t>
      </w:r>
    </w:p>
    <w:p w:rsidR="00A90913" w:rsidRDefault="00A90913" w:rsidP="00A90913">
      <w:pPr>
        <w:pStyle w:val="ac"/>
        <w:tabs>
          <w:tab w:val="left" w:pos="993"/>
        </w:tabs>
        <w:autoSpaceDE w:val="0"/>
        <w:autoSpaceDN w:val="0"/>
        <w:adjustRightInd w:val="0"/>
        <w:ind w:left="0" w:firstLine="540"/>
        <w:jc w:val="both"/>
        <w:rPr>
          <w:szCs w:val="28"/>
        </w:rPr>
      </w:pPr>
      <w:proofErr w:type="spellStart"/>
      <w:r>
        <w:rPr>
          <w:szCs w:val="28"/>
        </w:rPr>
        <w:t>Дj</w:t>
      </w:r>
      <w:proofErr w:type="spellEnd"/>
      <w:r>
        <w:rPr>
          <w:szCs w:val="28"/>
        </w:rPr>
        <w:t xml:space="preserve"> </w:t>
      </w:r>
      <w:r w:rsidR="009C6F0A">
        <w:rPr>
          <w:szCs w:val="28"/>
        </w:rPr>
        <w:t>–</w:t>
      </w:r>
      <w:r>
        <w:rPr>
          <w:szCs w:val="28"/>
        </w:rPr>
        <w:t xml:space="preserve"> общий размер дотации, распределяемой в два этапа:</w:t>
      </w:r>
    </w:p>
    <w:p w:rsidR="00A90913" w:rsidRDefault="009C6F0A" w:rsidP="00A90913">
      <w:pPr>
        <w:pStyle w:val="ac"/>
        <w:tabs>
          <w:tab w:val="left" w:pos="993"/>
        </w:tabs>
        <w:autoSpaceDE w:val="0"/>
        <w:autoSpaceDN w:val="0"/>
        <w:adjustRightInd w:val="0"/>
        <w:ind w:left="0" w:firstLine="540"/>
        <w:jc w:val="both"/>
        <w:rPr>
          <w:szCs w:val="28"/>
        </w:rPr>
      </w:pPr>
      <w:r>
        <w:rPr>
          <w:szCs w:val="28"/>
        </w:rPr>
        <w:lastRenderedPageBreak/>
        <w:t>на первом этапе –</w:t>
      </w:r>
      <w:r w:rsidR="00A90913">
        <w:rPr>
          <w:szCs w:val="28"/>
        </w:rPr>
        <w:t xml:space="preserve"> в срок до 1 марта текущего года в размере 70% от общего размера дотации, предусмотренного законом Республики Карелия о бюджете Республики Карелия на текущий финансовый год и плановый период;</w:t>
      </w:r>
    </w:p>
    <w:p w:rsidR="00A90913" w:rsidRDefault="00A90913" w:rsidP="00A90913">
      <w:pPr>
        <w:pStyle w:val="ac"/>
        <w:tabs>
          <w:tab w:val="left" w:pos="993"/>
        </w:tabs>
        <w:autoSpaceDE w:val="0"/>
        <w:autoSpaceDN w:val="0"/>
        <w:adjustRightInd w:val="0"/>
        <w:ind w:left="0" w:firstLine="540"/>
        <w:jc w:val="both"/>
        <w:rPr>
          <w:szCs w:val="28"/>
        </w:rPr>
      </w:pPr>
      <w:r>
        <w:rPr>
          <w:szCs w:val="28"/>
        </w:rPr>
        <w:t xml:space="preserve">на втором этапе </w:t>
      </w:r>
      <w:r w:rsidR="009C6F0A">
        <w:rPr>
          <w:szCs w:val="28"/>
        </w:rPr>
        <w:t>–</w:t>
      </w:r>
      <w:r>
        <w:rPr>
          <w:szCs w:val="28"/>
        </w:rPr>
        <w:t xml:space="preserve"> в срок до 1 октября текущего года в размере 30% от общего размера дотации, предусмотренного законом Республики Карелия о бюджете Республики Карелия на текущий финансовый год и плановый период;</w:t>
      </w:r>
    </w:p>
    <w:p w:rsidR="00A90913" w:rsidRDefault="00A90913" w:rsidP="00A90913">
      <w:pPr>
        <w:pStyle w:val="ac"/>
        <w:tabs>
          <w:tab w:val="left" w:pos="993"/>
        </w:tabs>
        <w:autoSpaceDE w:val="0"/>
        <w:autoSpaceDN w:val="0"/>
        <w:adjustRightInd w:val="0"/>
        <w:ind w:left="0" w:firstLine="540"/>
        <w:jc w:val="both"/>
        <w:rPr>
          <w:szCs w:val="28"/>
        </w:rPr>
      </w:pPr>
      <w:r>
        <w:rPr>
          <w:szCs w:val="28"/>
        </w:rPr>
        <w:t>Д</w:t>
      </w:r>
      <w:r>
        <w:rPr>
          <w:szCs w:val="28"/>
          <w:vertAlign w:val="subscript"/>
        </w:rPr>
        <w:t>2</w:t>
      </w:r>
      <w:r>
        <w:rPr>
          <w:szCs w:val="28"/>
        </w:rPr>
        <w:t xml:space="preserve"> </w:t>
      </w:r>
      <w:r w:rsidR="009C6F0A">
        <w:rPr>
          <w:szCs w:val="28"/>
        </w:rPr>
        <w:t>–</w:t>
      </w:r>
      <w:r>
        <w:rPr>
          <w:szCs w:val="28"/>
        </w:rPr>
        <w:t xml:space="preserve"> объем произведенного по решению руководителя Министерства финансов Республики Карелия сокращения межбюджетных трансфертов (дотации на выравнивание бюджетной обеспеченности муниципальных районов (городских округов), субвенции 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в связи с невыполнением органами местного самоуправления обязательств (условий), установленных при предоставлении этих межбюджетных трансфертов;</w:t>
      </w:r>
    </w:p>
    <w:p w:rsidR="00A90913" w:rsidRDefault="00A90913" w:rsidP="00A90913">
      <w:pPr>
        <w:pStyle w:val="ac"/>
        <w:tabs>
          <w:tab w:val="left" w:pos="993"/>
        </w:tabs>
        <w:autoSpaceDE w:val="0"/>
        <w:autoSpaceDN w:val="0"/>
        <w:adjustRightInd w:val="0"/>
        <w:ind w:left="0" w:firstLine="540"/>
        <w:jc w:val="both"/>
        <w:rPr>
          <w:szCs w:val="28"/>
        </w:rPr>
      </w:pPr>
      <w:r>
        <w:rPr>
          <w:szCs w:val="28"/>
        </w:rPr>
        <w:t xml:space="preserve">Д1ij </w:t>
      </w:r>
      <w:r w:rsidR="009C6F0A">
        <w:rPr>
          <w:szCs w:val="28"/>
        </w:rPr>
        <w:t>–</w:t>
      </w:r>
      <w:r>
        <w:rPr>
          <w:szCs w:val="28"/>
        </w:rPr>
        <w:t xml:space="preserve"> размер дотации, распределяемой на j-м этапе бюджету i-го муниципального района (городского округа), по которому отношение отклонения оценки расходных обязательств муниципального района (городского округа) и оценки доходов местного бюджета (далее </w:t>
      </w:r>
      <w:r w:rsidR="009C6F0A">
        <w:rPr>
          <w:szCs w:val="28"/>
        </w:rPr>
        <w:t>–</w:t>
      </w:r>
      <w:r>
        <w:rPr>
          <w:szCs w:val="28"/>
        </w:rPr>
        <w:t xml:space="preserve"> отклонение оценки) к оценке доходов местного бюджета на текущий финансовый год превышает средний по муниципальным образованиям показатель отношения отклонения оценки (далее </w:t>
      </w:r>
      <w:r w:rsidR="009C6F0A">
        <w:rPr>
          <w:szCs w:val="28"/>
        </w:rPr>
        <w:t>–</w:t>
      </w:r>
      <w:r>
        <w:rPr>
          <w:szCs w:val="28"/>
        </w:rPr>
        <w:t xml:space="preserve"> средний показатель);</w:t>
      </w:r>
    </w:p>
    <w:p w:rsidR="00A90913" w:rsidRDefault="00A90913" w:rsidP="00A90913">
      <w:pPr>
        <w:pStyle w:val="ac"/>
        <w:tabs>
          <w:tab w:val="left" w:pos="993"/>
        </w:tabs>
        <w:autoSpaceDE w:val="0"/>
        <w:autoSpaceDN w:val="0"/>
        <w:adjustRightInd w:val="0"/>
        <w:ind w:left="0" w:firstLine="540"/>
        <w:jc w:val="both"/>
        <w:rPr>
          <w:szCs w:val="28"/>
        </w:rPr>
      </w:pPr>
      <w:proofErr w:type="spellStart"/>
      <w:r>
        <w:rPr>
          <w:szCs w:val="28"/>
        </w:rPr>
        <w:t>Vi</w:t>
      </w:r>
      <w:proofErr w:type="spellEnd"/>
      <w:r>
        <w:rPr>
          <w:szCs w:val="28"/>
        </w:rPr>
        <w:t xml:space="preserve"> </w:t>
      </w:r>
      <w:r w:rsidR="009C6F0A">
        <w:rPr>
          <w:szCs w:val="28"/>
        </w:rPr>
        <w:t>–</w:t>
      </w:r>
      <w:r>
        <w:rPr>
          <w:szCs w:val="28"/>
        </w:rPr>
        <w:t xml:space="preserve"> отклонение оценки в текущем финансовом году по </w:t>
      </w:r>
      <w:proofErr w:type="spellStart"/>
      <w:r>
        <w:rPr>
          <w:szCs w:val="28"/>
        </w:rPr>
        <w:t>i-му</w:t>
      </w:r>
      <w:proofErr w:type="spellEnd"/>
      <w:r>
        <w:rPr>
          <w:szCs w:val="28"/>
        </w:rPr>
        <w:t xml:space="preserve"> муниципальному району (городскому округу).»;</w:t>
      </w:r>
    </w:p>
    <w:p w:rsidR="00A90913" w:rsidRDefault="00A90913" w:rsidP="00A90913">
      <w:pPr>
        <w:pStyle w:val="ac"/>
        <w:numPr>
          <w:ilvl w:val="0"/>
          <w:numId w:val="18"/>
        </w:numPr>
        <w:tabs>
          <w:tab w:val="left" w:pos="993"/>
        </w:tabs>
        <w:autoSpaceDE w:val="0"/>
        <w:autoSpaceDN w:val="0"/>
        <w:adjustRightInd w:val="0"/>
        <w:ind w:left="0" w:firstLine="540"/>
        <w:jc w:val="both"/>
        <w:rPr>
          <w:szCs w:val="28"/>
        </w:rPr>
      </w:pPr>
      <w:r>
        <w:rPr>
          <w:szCs w:val="28"/>
        </w:rPr>
        <w:t>абзац пятый пункта 5 дополнить словами «, иных межбюджетных трансфертов, предоставляемых бюджетам муниципальных районов из бюджетов поселений на осуществление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w:t>
      </w:r>
    </w:p>
    <w:p w:rsidR="005A1EA1" w:rsidRDefault="005A1EA1" w:rsidP="00065830">
      <w:pPr>
        <w:jc w:val="both"/>
      </w:pPr>
    </w:p>
    <w:p w:rsidR="009C6F0A" w:rsidRDefault="009C6F0A" w:rsidP="00065830">
      <w:pPr>
        <w:jc w:val="both"/>
      </w:pPr>
    </w:p>
    <w:p w:rsidR="005A1EA1" w:rsidRDefault="005A1EA1" w:rsidP="00065830">
      <w:pPr>
        <w:jc w:val="both"/>
      </w:pPr>
    </w:p>
    <w:p w:rsidR="00065830" w:rsidRDefault="00065830" w:rsidP="00065830">
      <w:pPr>
        <w:jc w:val="both"/>
      </w:pPr>
      <w:r>
        <w:t xml:space="preserve">          </w:t>
      </w:r>
      <w:r w:rsidR="00582BCD">
        <w:t xml:space="preserve"> </w:t>
      </w:r>
      <w:r>
        <w:t xml:space="preserve">Глава </w:t>
      </w:r>
    </w:p>
    <w:p w:rsidR="005669C4" w:rsidRDefault="00065830" w:rsidP="00065830">
      <w:pPr>
        <w:jc w:val="both"/>
      </w:pPr>
      <w:r>
        <w:t xml:space="preserve">Республики Карелия </w:t>
      </w:r>
      <w:r>
        <w:tab/>
      </w:r>
      <w:r>
        <w:tab/>
      </w:r>
      <w:r>
        <w:tab/>
      </w:r>
      <w:r>
        <w:tab/>
      </w:r>
      <w:r>
        <w:tab/>
      </w:r>
      <w:r w:rsidR="00B5387F">
        <w:t xml:space="preserve">                  </w:t>
      </w:r>
      <w:r>
        <w:t>А.О. Парфенчиков</w:t>
      </w:r>
    </w:p>
    <w:p w:rsidR="00A96AFD" w:rsidRDefault="00A96AFD" w:rsidP="00065830">
      <w:pPr>
        <w:jc w:val="both"/>
      </w:pPr>
    </w:p>
    <w:p w:rsidR="005A1EA1" w:rsidRDefault="005A1EA1" w:rsidP="00065830">
      <w:pPr>
        <w:jc w:val="both"/>
      </w:pPr>
    </w:p>
    <w:p w:rsidR="005A1EA1" w:rsidRDefault="005A1EA1" w:rsidP="00065830">
      <w:pPr>
        <w:jc w:val="both"/>
      </w:pPr>
    </w:p>
    <w:p w:rsidR="005A1EA1" w:rsidRDefault="005A1EA1" w:rsidP="00065830">
      <w:pPr>
        <w:jc w:val="both"/>
      </w:pPr>
    </w:p>
    <w:p w:rsidR="005A1EA1" w:rsidRDefault="005A1EA1" w:rsidP="00065830">
      <w:pPr>
        <w:jc w:val="both"/>
      </w:pPr>
    </w:p>
    <w:p w:rsidR="00884FE1" w:rsidRDefault="00884FE1" w:rsidP="005A1EA1">
      <w:pPr>
        <w:tabs>
          <w:tab w:val="left" w:pos="720"/>
          <w:tab w:val="left" w:pos="3510"/>
        </w:tabs>
        <w:ind w:firstLine="4395"/>
        <w:outlineLvl w:val="0"/>
      </w:pPr>
      <w:bookmarkStart w:id="0" w:name="_GoBack"/>
      <w:bookmarkEnd w:id="0"/>
    </w:p>
    <w:sectPr w:rsidR="00884FE1" w:rsidSect="009C6F0A">
      <w:headerReference w:type="default" r:id="rId9"/>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03882"/>
      <w:docPartObj>
        <w:docPartGallery w:val="Page Numbers (Top of Page)"/>
        <w:docPartUnique/>
      </w:docPartObj>
    </w:sdtPr>
    <w:sdtContent>
      <w:p w:rsidR="00F01463" w:rsidRDefault="00E42D01">
        <w:pPr>
          <w:pStyle w:val="a7"/>
          <w:jc w:val="center"/>
        </w:pPr>
        <w:fldSimple w:instr=" PAGE   \* MERGEFORMAT ">
          <w:r w:rsidR="00B132C8">
            <w:rPr>
              <w:noProof/>
            </w:rPr>
            <w:t>2</w:t>
          </w:r>
        </w:fldSimple>
      </w:p>
    </w:sdtContent>
  </w:sdt>
  <w:p w:rsidR="00F01463" w:rsidRDefault="00F0146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A569C5"/>
    <w:multiLevelType w:val="hybridMultilevel"/>
    <w:tmpl w:val="17C6449C"/>
    <w:lvl w:ilvl="0" w:tplc="716CCA5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6">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7"/>
  </w:num>
  <w:num w:numId="4">
    <w:abstractNumId w:val="1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2F7E"/>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5D34"/>
    <w:rsid w:val="001A000A"/>
    <w:rsid w:val="001B3D79"/>
    <w:rsid w:val="001C34DC"/>
    <w:rsid w:val="001D1CF8"/>
    <w:rsid w:val="001F4355"/>
    <w:rsid w:val="002073C3"/>
    <w:rsid w:val="00265050"/>
    <w:rsid w:val="00272F12"/>
    <w:rsid w:val="002A6B23"/>
    <w:rsid w:val="002C5979"/>
    <w:rsid w:val="002F2B93"/>
    <w:rsid w:val="00307849"/>
    <w:rsid w:val="00317979"/>
    <w:rsid w:val="00330B89"/>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731EA"/>
    <w:rsid w:val="004920FB"/>
    <w:rsid w:val="004A0780"/>
    <w:rsid w:val="004A24AD"/>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85378"/>
    <w:rsid w:val="006D438B"/>
    <w:rsid w:val="006E417C"/>
    <w:rsid w:val="006E64E6"/>
    <w:rsid w:val="006F076E"/>
    <w:rsid w:val="006F2870"/>
    <w:rsid w:val="007072B5"/>
    <w:rsid w:val="00726286"/>
    <w:rsid w:val="00756C1D"/>
    <w:rsid w:val="00757706"/>
    <w:rsid w:val="0076354C"/>
    <w:rsid w:val="007705AD"/>
    <w:rsid w:val="007771A7"/>
    <w:rsid w:val="007979F6"/>
    <w:rsid w:val="007A5254"/>
    <w:rsid w:val="007C2C1F"/>
    <w:rsid w:val="007C7486"/>
    <w:rsid w:val="007F1AFD"/>
    <w:rsid w:val="008333C2"/>
    <w:rsid w:val="008540A7"/>
    <w:rsid w:val="008573B7"/>
    <w:rsid w:val="00860B53"/>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C6F0A"/>
    <w:rsid w:val="009D2DE2"/>
    <w:rsid w:val="009D7E23"/>
    <w:rsid w:val="009E192A"/>
    <w:rsid w:val="009F3D47"/>
    <w:rsid w:val="00A1479B"/>
    <w:rsid w:val="00A2446E"/>
    <w:rsid w:val="00A26500"/>
    <w:rsid w:val="00A272A0"/>
    <w:rsid w:val="00A36C25"/>
    <w:rsid w:val="00A5340B"/>
    <w:rsid w:val="00A545D1"/>
    <w:rsid w:val="00A72BAF"/>
    <w:rsid w:val="00A90913"/>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132C8"/>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7749"/>
    <w:rsid w:val="00D87B51"/>
    <w:rsid w:val="00D93CF5"/>
    <w:rsid w:val="00DA22F0"/>
    <w:rsid w:val="00DB34EF"/>
    <w:rsid w:val="00DB6EAC"/>
    <w:rsid w:val="00DC600E"/>
    <w:rsid w:val="00DF3DAD"/>
    <w:rsid w:val="00E01561"/>
    <w:rsid w:val="00E07F7E"/>
    <w:rsid w:val="00E23820"/>
    <w:rsid w:val="00E24D47"/>
    <w:rsid w:val="00E356BC"/>
    <w:rsid w:val="00E4256C"/>
    <w:rsid w:val="00E42D01"/>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1384"/>
    <w:rsid w:val="00F01463"/>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139A"/>
    <w:rsid w:val="00FB2D0C"/>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93094096">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3591-3A9A-4DAF-B3E0-8BDA555D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7</cp:revision>
  <cp:lastPrinted>2018-09-26T06:41:00Z</cp:lastPrinted>
  <dcterms:created xsi:type="dcterms:W3CDTF">2018-09-25T08:59:00Z</dcterms:created>
  <dcterms:modified xsi:type="dcterms:W3CDTF">2018-09-26T06:41:00Z</dcterms:modified>
</cp:coreProperties>
</file>