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9C1" w:rsidRPr="009C29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502E06" w:rsidRDefault="00502E0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0A172F">
        <w:t xml:space="preserve">      </w:t>
      </w:r>
      <w:r w:rsidR="00307849">
        <w:t xml:space="preserve">от </w:t>
      </w:r>
      <w:r w:rsidR="00ED6C2A">
        <w:t xml:space="preserve"> </w:t>
      </w:r>
      <w:r w:rsidR="000A172F">
        <w:t>11 октября 2019 года № 384-П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1D45" w:rsidRPr="00CE4DBE" w:rsidRDefault="00EC1D45" w:rsidP="007C4FC4">
      <w:pPr>
        <w:pStyle w:val="Style6"/>
        <w:widowControl/>
        <w:spacing w:line="322" w:lineRule="exact"/>
        <w:jc w:val="both"/>
        <w:rPr>
          <w:rStyle w:val="FontStyle13"/>
          <w:szCs w:val="28"/>
        </w:rPr>
      </w:pPr>
    </w:p>
    <w:p w:rsidR="00CE4DBE" w:rsidRPr="00CE4DBE" w:rsidRDefault="00CE4DBE" w:rsidP="00CE4DBE">
      <w:pPr>
        <w:autoSpaceDE w:val="0"/>
        <w:autoSpaceDN w:val="0"/>
        <w:adjustRightInd w:val="0"/>
        <w:ind w:firstLine="720"/>
        <w:jc w:val="center"/>
        <w:rPr>
          <w:b/>
          <w:szCs w:val="26"/>
        </w:rPr>
      </w:pPr>
      <w:r w:rsidRPr="00CE4DBE">
        <w:rPr>
          <w:b/>
          <w:szCs w:val="26"/>
        </w:rPr>
        <w:t>Об утверждении региональной программы Республи</w:t>
      </w:r>
      <w:r>
        <w:rPr>
          <w:b/>
          <w:szCs w:val="26"/>
        </w:rPr>
        <w:t xml:space="preserve">ки Карелия «Чистая вода на 2019 – </w:t>
      </w:r>
      <w:r w:rsidRPr="00CE4DBE">
        <w:rPr>
          <w:b/>
          <w:szCs w:val="26"/>
        </w:rPr>
        <w:t>2024 годы»</w:t>
      </w:r>
    </w:p>
    <w:p w:rsidR="00CE4DBE" w:rsidRDefault="00CE4DBE" w:rsidP="00CE4DBE">
      <w:pPr>
        <w:autoSpaceDE w:val="0"/>
        <w:autoSpaceDN w:val="0"/>
        <w:adjustRightInd w:val="0"/>
        <w:ind w:firstLine="720"/>
        <w:jc w:val="center"/>
        <w:rPr>
          <w:szCs w:val="26"/>
        </w:rPr>
      </w:pPr>
    </w:p>
    <w:p w:rsidR="00CE4DBE" w:rsidRDefault="00CE4DBE" w:rsidP="00CE4DBE">
      <w:pPr>
        <w:autoSpaceDE w:val="0"/>
        <w:autoSpaceDN w:val="0"/>
        <w:adjustRightInd w:val="0"/>
        <w:ind w:firstLine="720"/>
        <w:rPr>
          <w:szCs w:val="26"/>
        </w:rPr>
      </w:pPr>
      <w:r>
        <w:rPr>
          <w:szCs w:val="26"/>
        </w:rPr>
        <w:t xml:space="preserve">Правительство Республики Карелия </w:t>
      </w:r>
      <w:proofErr w:type="gramStart"/>
      <w:r w:rsidRPr="00CE4DBE">
        <w:rPr>
          <w:b/>
          <w:szCs w:val="26"/>
        </w:rPr>
        <w:t>п</w:t>
      </w:r>
      <w:proofErr w:type="gramEnd"/>
      <w:r>
        <w:rPr>
          <w:b/>
          <w:szCs w:val="26"/>
        </w:rPr>
        <w:t xml:space="preserve"> </w:t>
      </w:r>
      <w:r w:rsidRPr="00CE4DBE">
        <w:rPr>
          <w:b/>
          <w:szCs w:val="26"/>
        </w:rPr>
        <w:t>о</w:t>
      </w:r>
      <w:r>
        <w:rPr>
          <w:b/>
          <w:szCs w:val="26"/>
        </w:rPr>
        <w:t xml:space="preserve"> </w:t>
      </w:r>
      <w:r w:rsidRPr="00CE4DBE">
        <w:rPr>
          <w:b/>
          <w:szCs w:val="26"/>
        </w:rPr>
        <w:t>с</w:t>
      </w:r>
      <w:r>
        <w:rPr>
          <w:b/>
          <w:szCs w:val="26"/>
        </w:rPr>
        <w:t xml:space="preserve"> </w:t>
      </w:r>
      <w:r w:rsidRPr="00CE4DBE">
        <w:rPr>
          <w:b/>
          <w:szCs w:val="26"/>
        </w:rPr>
        <w:t>т</w:t>
      </w:r>
      <w:r>
        <w:rPr>
          <w:b/>
          <w:szCs w:val="26"/>
        </w:rPr>
        <w:t xml:space="preserve"> </w:t>
      </w:r>
      <w:r w:rsidRPr="00CE4DBE">
        <w:rPr>
          <w:b/>
          <w:szCs w:val="26"/>
        </w:rPr>
        <w:t>а</w:t>
      </w:r>
      <w:r>
        <w:rPr>
          <w:b/>
          <w:szCs w:val="26"/>
        </w:rPr>
        <w:t xml:space="preserve"> </w:t>
      </w:r>
      <w:proofErr w:type="spellStart"/>
      <w:r w:rsidRPr="00CE4DBE">
        <w:rPr>
          <w:b/>
          <w:szCs w:val="26"/>
        </w:rPr>
        <w:t>н</w:t>
      </w:r>
      <w:proofErr w:type="spellEnd"/>
      <w:r>
        <w:rPr>
          <w:b/>
          <w:szCs w:val="26"/>
        </w:rPr>
        <w:t xml:space="preserve"> </w:t>
      </w:r>
      <w:r w:rsidRPr="00CE4DBE">
        <w:rPr>
          <w:b/>
          <w:szCs w:val="26"/>
        </w:rPr>
        <w:t>о</w:t>
      </w:r>
      <w:r>
        <w:rPr>
          <w:b/>
          <w:szCs w:val="26"/>
        </w:rPr>
        <w:t xml:space="preserve"> </w:t>
      </w:r>
      <w:r w:rsidRPr="00CE4DBE">
        <w:rPr>
          <w:b/>
          <w:szCs w:val="26"/>
        </w:rPr>
        <w:t>в</w:t>
      </w:r>
      <w:r>
        <w:rPr>
          <w:b/>
          <w:szCs w:val="26"/>
        </w:rPr>
        <w:t xml:space="preserve"> </w:t>
      </w:r>
      <w:r w:rsidRPr="00CE4DBE">
        <w:rPr>
          <w:b/>
          <w:szCs w:val="26"/>
        </w:rPr>
        <w:t>л</w:t>
      </w:r>
      <w:r>
        <w:rPr>
          <w:b/>
          <w:szCs w:val="26"/>
        </w:rPr>
        <w:t xml:space="preserve"> </w:t>
      </w:r>
      <w:r w:rsidRPr="00CE4DBE">
        <w:rPr>
          <w:b/>
          <w:szCs w:val="26"/>
        </w:rPr>
        <w:t>я</w:t>
      </w:r>
      <w:r>
        <w:rPr>
          <w:b/>
          <w:szCs w:val="26"/>
        </w:rPr>
        <w:t xml:space="preserve"> </w:t>
      </w:r>
      <w:r w:rsidRPr="00CE4DBE">
        <w:rPr>
          <w:b/>
          <w:szCs w:val="26"/>
        </w:rPr>
        <w:t>е</w:t>
      </w:r>
      <w:r>
        <w:rPr>
          <w:b/>
          <w:szCs w:val="26"/>
        </w:rPr>
        <w:t xml:space="preserve"> </w:t>
      </w:r>
      <w:r w:rsidRPr="00CE4DBE">
        <w:rPr>
          <w:b/>
          <w:szCs w:val="26"/>
        </w:rPr>
        <w:t>т</w:t>
      </w:r>
      <w:r>
        <w:rPr>
          <w:szCs w:val="26"/>
        </w:rPr>
        <w:t>:</w:t>
      </w:r>
    </w:p>
    <w:p w:rsidR="00CE4DBE" w:rsidRDefault="00CE4DBE" w:rsidP="00CE4DBE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1. Утвердить прилагаемую региональную программу Республики Карелия «Чистая вода на 2019 – 2024 годы».</w:t>
      </w:r>
    </w:p>
    <w:p w:rsidR="00CE4DBE" w:rsidRDefault="00CE4DBE" w:rsidP="00CE4DBE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2. Признать утратившим силу распоряжение Правительства Республики Карелия от 31 июля 2019 года № 543р-П.</w:t>
      </w: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CE4DBE" w:rsidRDefault="00CE4DBE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</w:p>
    <w:p w:rsidR="00CE4DBE" w:rsidRDefault="00CE4DBE" w:rsidP="00CE4DBE">
      <w:pPr>
        <w:jc w:val="right"/>
        <w:rPr>
          <w:szCs w:val="28"/>
        </w:rPr>
      </w:pPr>
    </w:p>
    <w:p w:rsidR="00CE4DBE" w:rsidRDefault="00CE4DBE" w:rsidP="00CE4DBE">
      <w:pPr>
        <w:jc w:val="right"/>
        <w:rPr>
          <w:szCs w:val="28"/>
        </w:rPr>
      </w:pPr>
    </w:p>
    <w:p w:rsidR="00CE4DBE" w:rsidRDefault="00CE4DBE" w:rsidP="00CE4DBE">
      <w:pPr>
        <w:rPr>
          <w:szCs w:val="28"/>
        </w:rPr>
        <w:sectPr w:rsidR="00CE4DBE">
          <w:pgSz w:w="11906" w:h="16838"/>
          <w:pgMar w:top="993" w:right="1135" w:bottom="567" w:left="1134" w:header="709" w:footer="709" w:gutter="0"/>
          <w:cols w:space="720"/>
        </w:sectPr>
      </w:pPr>
    </w:p>
    <w:p w:rsidR="00CE4DBE" w:rsidRDefault="00CE4DBE" w:rsidP="00CE4DBE">
      <w:pPr>
        <w:ind w:left="4820"/>
        <w:rPr>
          <w:szCs w:val="28"/>
        </w:rPr>
      </w:pPr>
      <w:r>
        <w:rPr>
          <w:szCs w:val="28"/>
        </w:rPr>
        <w:lastRenderedPageBreak/>
        <w:t>Утверждена постановлением Правительства Республики Карелия</w:t>
      </w:r>
    </w:p>
    <w:p w:rsidR="00CE4DBE" w:rsidRDefault="00CE4DBE" w:rsidP="00CE4DBE">
      <w:pPr>
        <w:ind w:firstLine="4820"/>
        <w:rPr>
          <w:szCs w:val="28"/>
        </w:rPr>
      </w:pPr>
      <w:r>
        <w:rPr>
          <w:szCs w:val="28"/>
        </w:rPr>
        <w:t xml:space="preserve">от  </w:t>
      </w:r>
      <w:r w:rsidR="00FD2068">
        <w:t>11 октября 2019 года № 384-П</w:t>
      </w:r>
    </w:p>
    <w:p w:rsidR="00CE4DBE" w:rsidRDefault="00CE4DBE" w:rsidP="00CE4DBE">
      <w:pPr>
        <w:rPr>
          <w:szCs w:val="28"/>
        </w:rPr>
      </w:pPr>
    </w:p>
    <w:p w:rsidR="00646280" w:rsidRDefault="00646280" w:rsidP="00CE4DB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E4DBE" w:rsidRDefault="00CE4DBE" w:rsidP="00CE4DB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Региональная программа </w:t>
      </w:r>
      <w:r>
        <w:rPr>
          <w:b/>
          <w:szCs w:val="28"/>
        </w:rPr>
        <w:br/>
        <w:t>Республики Карелия «Чистая вода на 2019 – 2024 годы»</w:t>
      </w:r>
    </w:p>
    <w:p w:rsidR="00CE4DBE" w:rsidRDefault="00CE4DBE" w:rsidP="00CE4DBE">
      <w:pPr>
        <w:jc w:val="center"/>
        <w:rPr>
          <w:szCs w:val="28"/>
        </w:rPr>
      </w:pPr>
    </w:p>
    <w:p w:rsidR="00CE4DBE" w:rsidRDefault="00CE4DBE" w:rsidP="00CE4DBE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CE4DBE" w:rsidRDefault="00CE4DBE" w:rsidP="00CE4DB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региональной программы Республики Карелия</w:t>
      </w:r>
    </w:p>
    <w:p w:rsidR="00CE4DBE" w:rsidRDefault="00CE4DBE" w:rsidP="00CE4DB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«Чистая вода на 2019 – 2024 годы»</w:t>
      </w:r>
    </w:p>
    <w:p w:rsidR="00CE4DBE" w:rsidRDefault="00CE4DBE" w:rsidP="00CE4DBE">
      <w:pPr>
        <w:autoSpaceDE w:val="0"/>
        <w:autoSpaceDN w:val="0"/>
        <w:adjustRightInd w:val="0"/>
        <w:rPr>
          <w:rStyle w:val="23"/>
          <w:rFonts w:eastAsiaTheme="minorEastAsia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1"/>
        <w:gridCol w:w="7230"/>
      </w:tblGrid>
      <w:tr w:rsidR="00CE4DBE" w:rsidTr="00CE4DBE">
        <w:trPr>
          <w:trHeight w:hRule="exact" w:val="106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4DBE" w:rsidRDefault="00CE4D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региональной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Default="00CE4DBE">
            <w:pPr>
              <w:spacing w:after="120"/>
              <w:ind w:left="133" w:right="131"/>
              <w:jc w:val="both"/>
              <w:rPr>
                <w:szCs w:val="28"/>
              </w:rPr>
            </w:pPr>
            <w:r>
              <w:rPr>
                <w:szCs w:val="28"/>
              </w:rPr>
              <w:t>региональная программа Республики Карелия «Чистая вода на 2019 – 2024 годы» (далее – Программа)</w:t>
            </w:r>
          </w:p>
        </w:tc>
      </w:tr>
      <w:tr w:rsidR="00CE4DBE" w:rsidTr="00046F25">
        <w:trPr>
          <w:trHeight w:hRule="exact" w:val="348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DBE" w:rsidRDefault="00CE4DBE">
            <w:pPr>
              <w:rPr>
                <w:rStyle w:val="23"/>
                <w:rFonts w:eastAsiaTheme="minorEastAsia"/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BE" w:rsidRDefault="00CE4DBE">
            <w:pPr>
              <w:pStyle w:val="ConsPlusCell"/>
              <w:widowControl/>
              <w:ind w:left="133"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обеспечение к 2024 году достижения значения показателя «доля населения Республики Карелия, обеспеченного качественной питьевой водой из систем централизованного водоснабжения, в общей численности населения Республики Карелия» 84,8%;</w:t>
            </w:r>
          </w:p>
          <w:p w:rsidR="00CE4DBE" w:rsidRDefault="00CE4DBE" w:rsidP="00046F25">
            <w:pPr>
              <w:spacing w:after="360"/>
              <w:ind w:left="133" w:right="131"/>
              <w:jc w:val="both"/>
              <w:rPr>
                <w:szCs w:val="28"/>
              </w:rPr>
            </w:pPr>
            <w:r>
              <w:rPr>
                <w:szCs w:val="28"/>
              </w:rPr>
              <w:t>2) обеспечение к 2024 году достижения значения показателя «доля городского населения Республики Карелия, обеспеченного качественной питьевой водой из систем централизованного водоснабжения, в общей численности населения Республики Карелия» 74,4%</w:t>
            </w:r>
          </w:p>
          <w:p w:rsidR="00046F25" w:rsidRDefault="00046F25" w:rsidP="00046F25">
            <w:pPr>
              <w:spacing w:after="360"/>
              <w:ind w:left="133" w:right="131"/>
              <w:jc w:val="both"/>
              <w:rPr>
                <w:szCs w:val="28"/>
              </w:rPr>
            </w:pPr>
          </w:p>
          <w:p w:rsidR="00046F25" w:rsidRDefault="00046F25" w:rsidP="00046F25">
            <w:pPr>
              <w:spacing w:after="360"/>
              <w:ind w:left="133" w:right="131"/>
              <w:jc w:val="both"/>
              <w:rPr>
                <w:szCs w:val="28"/>
              </w:rPr>
            </w:pPr>
          </w:p>
          <w:p w:rsidR="00046F25" w:rsidRDefault="00046F25" w:rsidP="00046F25">
            <w:pPr>
              <w:spacing w:after="360"/>
              <w:ind w:left="133" w:right="131"/>
              <w:jc w:val="both"/>
              <w:rPr>
                <w:szCs w:val="28"/>
              </w:rPr>
            </w:pPr>
          </w:p>
          <w:p w:rsidR="00046F25" w:rsidRDefault="00046F25" w:rsidP="00046F25">
            <w:pPr>
              <w:spacing w:after="240"/>
              <w:ind w:left="133" w:right="131"/>
              <w:jc w:val="both"/>
              <w:rPr>
                <w:szCs w:val="28"/>
              </w:rPr>
            </w:pPr>
          </w:p>
          <w:p w:rsidR="00CE4DBE" w:rsidRDefault="00CE4DBE">
            <w:pPr>
              <w:spacing w:after="120"/>
              <w:ind w:left="133" w:right="131"/>
              <w:jc w:val="both"/>
              <w:rPr>
                <w:szCs w:val="28"/>
              </w:rPr>
            </w:pPr>
          </w:p>
        </w:tc>
      </w:tr>
      <w:tr w:rsidR="00CE4DBE" w:rsidTr="00CE4DBE">
        <w:trPr>
          <w:trHeight w:hRule="exact" w:val="170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DBE" w:rsidRPr="00046F25" w:rsidRDefault="00CE4DBE">
            <w:pPr>
              <w:rPr>
                <w:rStyle w:val="23"/>
                <w:rFonts w:eastAsiaTheme="minorEastAsia"/>
                <w:sz w:val="28"/>
                <w:szCs w:val="28"/>
              </w:rPr>
            </w:pPr>
            <w:r w:rsidRPr="00046F25">
              <w:rPr>
                <w:rStyle w:val="23"/>
                <w:rFonts w:eastAsiaTheme="minorEastAsia"/>
                <w:sz w:val="28"/>
                <w:szCs w:val="28"/>
              </w:rPr>
              <w:t>Задача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DBE" w:rsidRDefault="00CE4DBE">
            <w:pPr>
              <w:ind w:left="133" w:right="131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повышение качества питьевой воды посредством</w:t>
            </w:r>
            <w:r>
              <w:rPr>
                <w:szCs w:val="28"/>
              </w:rPr>
              <w:t xml:space="preserve"> строительства, реконструкции (</w:t>
            </w:r>
            <w:r>
              <w:rPr>
                <w:rFonts w:eastAsia="Calibri"/>
                <w:szCs w:val="28"/>
              </w:rPr>
              <w:t>модернизации</w:t>
            </w:r>
            <w:r>
              <w:rPr>
                <w:szCs w:val="28"/>
              </w:rPr>
              <w:t>)</w:t>
            </w:r>
            <w:r>
              <w:rPr>
                <w:rFonts w:eastAsia="Calibri"/>
                <w:szCs w:val="28"/>
              </w:rPr>
              <w:t xml:space="preserve"> систем водоснабжения</w:t>
            </w:r>
            <w:r>
              <w:rPr>
                <w:szCs w:val="28"/>
              </w:rPr>
              <w:t xml:space="preserve"> 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CE4DBE" w:rsidTr="00CE4DBE">
        <w:trPr>
          <w:trHeight w:val="306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DBE" w:rsidRDefault="00CE4DBE">
            <w:pPr>
              <w:rPr>
                <w:rStyle w:val="23"/>
                <w:rFonts w:eastAsiaTheme="minorEastAsia"/>
                <w:szCs w:val="28"/>
              </w:rPr>
            </w:pPr>
            <w:r>
              <w:rPr>
                <w:szCs w:val="28"/>
              </w:rPr>
              <w:t xml:space="preserve">Ожидаемые конечные         </w:t>
            </w:r>
            <w:r>
              <w:rPr>
                <w:szCs w:val="28"/>
              </w:rPr>
              <w:br/>
              <w:t xml:space="preserve">результаты реализации      </w:t>
            </w:r>
            <w:r>
              <w:rPr>
                <w:szCs w:val="28"/>
              </w:rPr>
              <w:br/>
              <w:t xml:space="preserve">Программы и   </w:t>
            </w:r>
            <w:r>
              <w:rPr>
                <w:szCs w:val="28"/>
              </w:rPr>
              <w:br/>
              <w:t xml:space="preserve">показатели эффективности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BE" w:rsidRDefault="00CE4DBE">
            <w:pPr>
              <w:pStyle w:val="ConsPlusCell"/>
              <w:widowControl/>
              <w:ind w:left="133"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доли населения Республики Карелия, обеспеченного качественной питьевой водой из систем централизованного водоснабжения, в общей численности населения Республики Карелия до 84,8%;</w:t>
            </w:r>
          </w:p>
          <w:p w:rsidR="00CE4DBE" w:rsidRDefault="00CE4DBE">
            <w:pPr>
              <w:ind w:left="133" w:right="131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увеличение доли городского населения Республики Карелия, обеспеченного качественной питьевой водой</w:t>
            </w:r>
          </w:p>
          <w:p w:rsidR="00CE4DBE" w:rsidRDefault="00CE4DBE">
            <w:pPr>
              <w:ind w:left="133" w:right="131"/>
              <w:jc w:val="both"/>
              <w:rPr>
                <w:szCs w:val="28"/>
              </w:rPr>
            </w:pPr>
            <w:r>
              <w:rPr>
                <w:szCs w:val="28"/>
              </w:rPr>
              <w:t>из систем централизованного водоснабжения, в общей численности населения Республики Карелия до 74,4%</w:t>
            </w:r>
          </w:p>
          <w:p w:rsidR="00CE4DBE" w:rsidRDefault="00CE4DBE">
            <w:pPr>
              <w:ind w:left="133" w:right="131"/>
              <w:jc w:val="both"/>
              <w:rPr>
                <w:rFonts w:eastAsia="Calibri"/>
                <w:szCs w:val="28"/>
              </w:rPr>
            </w:pPr>
          </w:p>
        </w:tc>
      </w:tr>
    </w:tbl>
    <w:p w:rsidR="00046F25" w:rsidRDefault="00046F25"/>
    <w:p w:rsidR="00046F25" w:rsidRDefault="00046F25"/>
    <w:p w:rsidR="00046F25" w:rsidRDefault="00046F25"/>
    <w:p w:rsidR="00046F25" w:rsidRDefault="00046F25"/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849"/>
        <w:gridCol w:w="1273"/>
        <w:gridCol w:w="1416"/>
        <w:gridCol w:w="1415"/>
        <w:gridCol w:w="1274"/>
        <w:gridCol w:w="1286"/>
      </w:tblGrid>
      <w:tr w:rsidR="00CE4DBE" w:rsidTr="00711E9E">
        <w:trPr>
          <w:trHeight w:val="33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4DBE" w:rsidRDefault="00CE4D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Источники финансирования   </w:t>
            </w:r>
            <w:r>
              <w:rPr>
                <w:szCs w:val="28"/>
              </w:rPr>
              <w:br/>
              <w:t xml:space="preserve">Программы    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>
            <w:pPr>
              <w:ind w:right="131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>
            <w:pPr>
              <w:ind w:right="131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Всего</w:t>
            </w:r>
          </w:p>
          <w:p w:rsidR="00CE4DBE" w:rsidRPr="00711E9E" w:rsidRDefault="00CE4DBE" w:rsidP="00711E9E">
            <w:pPr>
              <w:ind w:right="131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(тыс. руб</w:t>
            </w:r>
            <w:r w:rsidR="00711E9E" w:rsidRPr="00711E9E">
              <w:rPr>
                <w:rStyle w:val="23"/>
                <w:rFonts w:eastAsiaTheme="minorEastAsia"/>
                <w:sz w:val="26"/>
                <w:szCs w:val="26"/>
              </w:rPr>
              <w:t>лей</w:t>
            </w:r>
            <w:r w:rsidRPr="00711E9E">
              <w:rPr>
                <w:rStyle w:val="23"/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>
            <w:pPr>
              <w:ind w:right="131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В том числе</w:t>
            </w:r>
          </w:p>
        </w:tc>
      </w:tr>
      <w:tr w:rsidR="00CE4DBE" w:rsidTr="00711E9E">
        <w:trPr>
          <w:trHeight w:val="98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DBE" w:rsidRDefault="00CE4DBE">
            <w:pPr>
              <w:rPr>
                <w:szCs w:val="2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BE" w:rsidRPr="00711E9E" w:rsidRDefault="00CE4DBE">
            <w:pPr>
              <w:rPr>
                <w:rStyle w:val="23"/>
                <w:rFonts w:eastAsiaTheme="minorEastAsia"/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BE" w:rsidRPr="00711E9E" w:rsidRDefault="00CE4DBE">
            <w:pPr>
              <w:rPr>
                <w:rStyle w:val="23"/>
                <w:rFonts w:eastAsiaTheme="minorEastAsia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 w:rsidP="00711E9E">
            <w:pPr>
              <w:ind w:right="131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proofErr w:type="spellStart"/>
            <w:proofErr w:type="gramStart"/>
            <w:r w:rsidRPr="00711E9E">
              <w:rPr>
                <w:rStyle w:val="23"/>
                <w:rFonts w:eastAsiaTheme="minorEastAsia"/>
                <w:sz w:val="26"/>
                <w:szCs w:val="26"/>
              </w:rPr>
              <w:t>федераль-ный</w:t>
            </w:r>
            <w:proofErr w:type="spellEnd"/>
            <w:proofErr w:type="gramEnd"/>
            <w:r w:rsidRPr="00711E9E">
              <w:rPr>
                <w:rStyle w:val="23"/>
                <w:rFonts w:eastAsiaTheme="minorEastAsia"/>
                <w:sz w:val="26"/>
                <w:szCs w:val="26"/>
              </w:rPr>
              <w:t xml:space="preserve"> бюджет (тыс. руб</w:t>
            </w:r>
            <w:r w:rsidR="00711E9E" w:rsidRPr="00711E9E">
              <w:rPr>
                <w:rStyle w:val="23"/>
                <w:rFonts w:eastAsiaTheme="minorEastAsia"/>
                <w:sz w:val="26"/>
                <w:szCs w:val="26"/>
              </w:rPr>
              <w:t>лей</w:t>
            </w:r>
            <w:r w:rsidRPr="00711E9E">
              <w:rPr>
                <w:rStyle w:val="23"/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>
            <w:pPr>
              <w:ind w:right="131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 xml:space="preserve">бюджет </w:t>
            </w:r>
            <w:proofErr w:type="spellStart"/>
            <w:r w:rsidRPr="00711E9E">
              <w:rPr>
                <w:rStyle w:val="23"/>
                <w:rFonts w:eastAsiaTheme="minorEastAsia"/>
                <w:sz w:val="26"/>
                <w:szCs w:val="26"/>
              </w:rPr>
              <w:t>Респуб</w:t>
            </w:r>
            <w:proofErr w:type="spellEnd"/>
            <w:r w:rsidRPr="00711E9E">
              <w:rPr>
                <w:rStyle w:val="23"/>
                <w:rFonts w:eastAsiaTheme="minorEastAsia"/>
                <w:sz w:val="26"/>
                <w:szCs w:val="26"/>
              </w:rPr>
              <w:t>-</w:t>
            </w:r>
          </w:p>
          <w:p w:rsidR="00CE4DBE" w:rsidRPr="00711E9E" w:rsidRDefault="00CE4DBE">
            <w:pPr>
              <w:ind w:right="131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 xml:space="preserve">лики Карелия </w:t>
            </w:r>
          </w:p>
          <w:p w:rsidR="00CE4DBE" w:rsidRPr="00711E9E" w:rsidRDefault="00CE4DBE" w:rsidP="00711E9E">
            <w:pPr>
              <w:ind w:right="131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(тыс. руб</w:t>
            </w:r>
            <w:r w:rsidR="00711E9E" w:rsidRPr="00711E9E">
              <w:rPr>
                <w:rStyle w:val="23"/>
                <w:rFonts w:eastAsiaTheme="minorEastAsia"/>
                <w:sz w:val="26"/>
                <w:szCs w:val="26"/>
              </w:rPr>
              <w:t>лей</w:t>
            </w:r>
            <w:r w:rsidRPr="00711E9E">
              <w:rPr>
                <w:rStyle w:val="23"/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 w:rsidP="00711E9E">
            <w:pPr>
              <w:ind w:right="131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местный бюджет (тыс. руб</w:t>
            </w:r>
            <w:r w:rsidR="00711E9E" w:rsidRPr="00711E9E">
              <w:rPr>
                <w:rStyle w:val="23"/>
                <w:rFonts w:eastAsiaTheme="minorEastAsia"/>
                <w:sz w:val="26"/>
                <w:szCs w:val="26"/>
              </w:rPr>
              <w:t>лей</w:t>
            </w:r>
            <w:r w:rsidRPr="00711E9E">
              <w:rPr>
                <w:rStyle w:val="23"/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>
            <w:pPr>
              <w:ind w:right="131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proofErr w:type="spellStart"/>
            <w:proofErr w:type="gramStart"/>
            <w:r w:rsidRPr="00711E9E">
              <w:rPr>
                <w:rStyle w:val="23"/>
                <w:rFonts w:eastAsiaTheme="minorEastAsia"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711E9E">
              <w:rPr>
                <w:rStyle w:val="23"/>
                <w:rFonts w:eastAsiaTheme="minorEastAsia"/>
                <w:sz w:val="26"/>
                <w:szCs w:val="26"/>
              </w:rPr>
              <w:t xml:space="preserve"> средства</w:t>
            </w:r>
          </w:p>
          <w:p w:rsidR="00CE4DBE" w:rsidRPr="00711E9E" w:rsidRDefault="00CE4DBE" w:rsidP="00711E9E">
            <w:pPr>
              <w:ind w:right="131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(тыс. руб</w:t>
            </w:r>
            <w:r w:rsidR="00711E9E" w:rsidRPr="00711E9E">
              <w:rPr>
                <w:rStyle w:val="23"/>
                <w:rFonts w:eastAsiaTheme="minorEastAsia"/>
                <w:sz w:val="26"/>
                <w:szCs w:val="26"/>
              </w:rPr>
              <w:t>лей</w:t>
            </w:r>
            <w:r w:rsidRPr="00711E9E">
              <w:rPr>
                <w:rStyle w:val="23"/>
                <w:rFonts w:eastAsiaTheme="minorEastAsia"/>
                <w:sz w:val="26"/>
                <w:szCs w:val="26"/>
              </w:rPr>
              <w:t>)</w:t>
            </w:r>
          </w:p>
        </w:tc>
      </w:tr>
      <w:tr w:rsidR="00CE4DBE" w:rsidTr="00711E9E">
        <w:trPr>
          <w:trHeight w:hRule="exact" w:val="192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DBE" w:rsidRDefault="00CE4DBE">
            <w:pPr>
              <w:rPr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2019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2020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2021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2022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2023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 w:rsidP="00646280">
            <w:pPr>
              <w:ind w:left="-14" w:firstLine="14"/>
              <w:jc w:val="center"/>
              <w:rPr>
                <w:sz w:val="26"/>
                <w:szCs w:val="26"/>
              </w:rPr>
            </w:pPr>
            <w:r w:rsidRPr="00711E9E">
              <w:rPr>
                <w:sz w:val="26"/>
                <w:szCs w:val="26"/>
              </w:rPr>
              <w:t>135 544,6              479 878,7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sz w:val="26"/>
                <w:szCs w:val="26"/>
              </w:rPr>
            </w:pPr>
            <w:r w:rsidRPr="00711E9E">
              <w:rPr>
                <w:sz w:val="26"/>
                <w:szCs w:val="26"/>
              </w:rPr>
              <w:t>429 809,9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sz w:val="26"/>
                <w:szCs w:val="26"/>
              </w:rPr>
            </w:pPr>
            <w:r w:rsidRPr="00711E9E">
              <w:rPr>
                <w:sz w:val="26"/>
                <w:szCs w:val="26"/>
              </w:rPr>
              <w:t>408 151,2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460 433,4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322 722,0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 w:rsidP="00646280">
            <w:pPr>
              <w:ind w:left="-14" w:firstLine="14"/>
              <w:jc w:val="center"/>
              <w:rPr>
                <w:sz w:val="26"/>
                <w:szCs w:val="26"/>
              </w:rPr>
            </w:pPr>
            <w:r w:rsidRPr="00711E9E">
              <w:rPr>
                <w:sz w:val="26"/>
                <w:szCs w:val="26"/>
              </w:rPr>
              <w:t>43 033,7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sz w:val="26"/>
                <w:szCs w:val="26"/>
              </w:rPr>
            </w:pPr>
            <w:r w:rsidRPr="00711E9E">
              <w:rPr>
                <w:sz w:val="26"/>
                <w:szCs w:val="26"/>
              </w:rPr>
              <w:t>100 722,4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sz w:val="26"/>
                <w:szCs w:val="26"/>
              </w:rPr>
            </w:pPr>
            <w:r w:rsidRPr="00711E9E">
              <w:rPr>
                <w:sz w:val="26"/>
                <w:szCs w:val="26"/>
              </w:rPr>
              <w:t>213 850,8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323 993,2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376 963,9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242 253,5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37 132,1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38 360,5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2160,1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3240,0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3769,5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2422,5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4973,8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4007,8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0,0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0,0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0,0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50 405,0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336 788,0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213 799,0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80 918,0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79 700,0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78 046,0</w:t>
            </w: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</w:p>
          <w:p w:rsidR="00CE4DBE" w:rsidRPr="00711E9E" w:rsidRDefault="00CE4DBE" w:rsidP="00646280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</w:p>
        </w:tc>
      </w:tr>
      <w:tr w:rsidR="00CE4DBE" w:rsidTr="00711E9E">
        <w:trPr>
          <w:trHeight w:hRule="exact" w:val="50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DBE" w:rsidRDefault="00CE4DBE">
            <w:pPr>
              <w:rPr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 w:rsidP="00CE4DBE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BE" w:rsidRPr="00711E9E" w:rsidRDefault="00CE4DBE" w:rsidP="00CE4DBE">
            <w:pPr>
              <w:ind w:left="-14" w:firstLine="14"/>
              <w:jc w:val="center"/>
              <w:rPr>
                <w:color w:val="000000"/>
                <w:sz w:val="26"/>
                <w:szCs w:val="26"/>
              </w:rPr>
            </w:pPr>
            <w:r w:rsidRPr="00711E9E">
              <w:rPr>
                <w:color w:val="000000"/>
                <w:sz w:val="26"/>
                <w:szCs w:val="26"/>
              </w:rPr>
              <w:t>2 240 599,8</w:t>
            </w:r>
          </w:p>
          <w:p w:rsidR="00CE4DBE" w:rsidRPr="00711E9E" w:rsidRDefault="00CE4DBE" w:rsidP="00CE4DBE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BE" w:rsidRPr="00711E9E" w:rsidRDefault="00CE4DBE" w:rsidP="00CE4DBE">
            <w:pPr>
              <w:ind w:left="-14" w:firstLine="14"/>
              <w:jc w:val="center"/>
              <w:rPr>
                <w:color w:val="000000"/>
                <w:sz w:val="26"/>
                <w:szCs w:val="26"/>
              </w:rPr>
            </w:pPr>
            <w:r w:rsidRPr="00711E9E">
              <w:rPr>
                <w:color w:val="000000"/>
                <w:sz w:val="26"/>
                <w:szCs w:val="26"/>
              </w:rPr>
              <w:t>1 300 817,5</w:t>
            </w:r>
          </w:p>
          <w:p w:rsidR="00CE4DBE" w:rsidRPr="00711E9E" w:rsidRDefault="00CE4DBE" w:rsidP="00CE4DBE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 w:rsidP="00CE4DBE">
            <w:pPr>
              <w:ind w:left="-14" w:firstLine="14"/>
              <w:jc w:val="center"/>
              <w:rPr>
                <w:color w:val="000000"/>
                <w:sz w:val="26"/>
                <w:szCs w:val="26"/>
              </w:rPr>
            </w:pPr>
            <w:r w:rsidRPr="00711E9E">
              <w:rPr>
                <w:color w:val="000000"/>
                <w:sz w:val="26"/>
                <w:szCs w:val="26"/>
              </w:rPr>
              <w:t>87</w:t>
            </w:r>
            <w:r w:rsidR="00376E38">
              <w:rPr>
                <w:color w:val="000000"/>
                <w:sz w:val="26"/>
                <w:szCs w:val="26"/>
              </w:rPr>
              <w:t xml:space="preserve"> </w:t>
            </w:r>
            <w:r w:rsidRPr="00711E9E">
              <w:rPr>
                <w:color w:val="000000"/>
                <w:sz w:val="26"/>
                <w:szCs w:val="26"/>
              </w:rPr>
              <w:t>084,7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 w:rsidP="00CE4DBE">
            <w:pPr>
              <w:ind w:left="-14" w:firstLine="14"/>
              <w:jc w:val="center"/>
              <w:rPr>
                <w:sz w:val="26"/>
                <w:szCs w:val="26"/>
              </w:rPr>
            </w:pPr>
            <w:r w:rsidRPr="00711E9E">
              <w:rPr>
                <w:sz w:val="26"/>
                <w:szCs w:val="26"/>
              </w:rPr>
              <w:t>13</w:t>
            </w:r>
            <w:r w:rsidR="00376E38">
              <w:rPr>
                <w:sz w:val="26"/>
                <w:szCs w:val="26"/>
              </w:rPr>
              <w:t xml:space="preserve"> </w:t>
            </w:r>
            <w:r w:rsidRPr="00711E9E">
              <w:rPr>
                <w:sz w:val="26"/>
                <w:szCs w:val="26"/>
              </w:rPr>
              <w:t>041,6*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4DBE" w:rsidRPr="00711E9E" w:rsidRDefault="00CE4DBE" w:rsidP="00CE4DBE">
            <w:pPr>
              <w:ind w:left="-14" w:firstLine="14"/>
              <w:jc w:val="center"/>
              <w:rPr>
                <w:rStyle w:val="23"/>
                <w:rFonts w:eastAsiaTheme="minorEastAsia"/>
                <w:sz w:val="26"/>
                <w:szCs w:val="26"/>
              </w:rPr>
            </w:pPr>
            <w:r w:rsidRPr="00711E9E">
              <w:rPr>
                <w:rStyle w:val="23"/>
                <w:rFonts w:eastAsiaTheme="minorEastAsia"/>
                <w:sz w:val="26"/>
                <w:szCs w:val="26"/>
              </w:rPr>
              <w:t>839</w:t>
            </w:r>
            <w:r w:rsidR="00376E38">
              <w:rPr>
                <w:rStyle w:val="23"/>
                <w:rFonts w:eastAsiaTheme="minorEastAsia"/>
                <w:sz w:val="26"/>
                <w:szCs w:val="26"/>
              </w:rPr>
              <w:t xml:space="preserve"> </w:t>
            </w:r>
            <w:r w:rsidRPr="00711E9E">
              <w:rPr>
                <w:rStyle w:val="23"/>
                <w:rFonts w:eastAsiaTheme="minorEastAsia"/>
                <w:sz w:val="26"/>
                <w:szCs w:val="26"/>
              </w:rPr>
              <w:t>656,0</w:t>
            </w:r>
          </w:p>
        </w:tc>
      </w:tr>
      <w:tr w:rsidR="00CE4DBE" w:rsidTr="00711E9E">
        <w:trPr>
          <w:trHeight w:hRule="exact" w:val="90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DBE" w:rsidRPr="00376E38" w:rsidRDefault="00CE4DBE">
            <w:pPr>
              <w:rPr>
                <w:rStyle w:val="23"/>
                <w:rFonts w:eastAsiaTheme="minorEastAsia"/>
                <w:sz w:val="28"/>
                <w:szCs w:val="28"/>
              </w:rPr>
            </w:pPr>
            <w:r w:rsidRPr="00376E38">
              <w:rPr>
                <w:rStyle w:val="23"/>
                <w:rFonts w:eastAsiaTheme="minorEastAsia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DBE" w:rsidRDefault="00CE4DBE">
            <w:pPr>
              <w:ind w:left="132" w:right="131"/>
              <w:rPr>
                <w:szCs w:val="28"/>
              </w:rPr>
            </w:pPr>
            <w:r>
              <w:rPr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CE4DBE" w:rsidTr="00711E9E">
        <w:trPr>
          <w:trHeight w:hRule="exact" w:val="681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DBE" w:rsidRPr="00376E38" w:rsidRDefault="00CE4DBE">
            <w:pPr>
              <w:rPr>
                <w:rStyle w:val="23"/>
                <w:rFonts w:eastAsiaTheme="minorEastAsia"/>
                <w:sz w:val="28"/>
                <w:szCs w:val="28"/>
              </w:rPr>
            </w:pPr>
            <w:r w:rsidRPr="00376E38">
              <w:rPr>
                <w:rStyle w:val="23"/>
                <w:rFonts w:eastAsiaTheme="minorEastAsia"/>
                <w:sz w:val="28"/>
                <w:szCs w:val="28"/>
              </w:rPr>
              <w:t>Участники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DBE" w:rsidRPr="00CE4DBE" w:rsidRDefault="00CE4DB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 w:val="28"/>
                <w:szCs w:val="28"/>
              </w:rPr>
            </w:pP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Карелия (по согласованию);</w:t>
            </w:r>
          </w:p>
          <w:p w:rsidR="00CE4DBE" w:rsidRPr="00CE4DBE" w:rsidRDefault="00CE4DB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 w:val="28"/>
                <w:szCs w:val="28"/>
              </w:rPr>
            </w:pP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органы местного самоуправления (по согласованию):</w:t>
            </w:r>
          </w:p>
          <w:p w:rsidR="00CE4DBE" w:rsidRPr="00CE4DBE" w:rsidRDefault="00CE4DB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 w:val="28"/>
                <w:szCs w:val="28"/>
              </w:rPr>
            </w:pP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Кемского</w:t>
            </w:r>
            <w:proofErr w:type="spellEnd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 муниципального района,</w:t>
            </w:r>
          </w:p>
          <w:p w:rsidR="00CE4DBE" w:rsidRPr="00CE4DBE" w:rsidRDefault="00CE4DB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 w:val="28"/>
                <w:szCs w:val="28"/>
              </w:rPr>
            </w:pP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Пряжинского</w:t>
            </w:r>
            <w:proofErr w:type="spellEnd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 национального </w:t>
            </w:r>
            <w:proofErr w:type="spellStart"/>
            <w:proofErr w:type="gramStart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муници</w:t>
            </w:r>
            <w:r w:rsidR="00711E9E">
              <w:rPr>
                <w:rStyle w:val="24"/>
                <w:rFonts w:eastAsiaTheme="minorEastAsia"/>
                <w:b w:val="0"/>
                <w:sz w:val="28"/>
                <w:szCs w:val="28"/>
              </w:rPr>
              <w:t>-</w:t>
            </w: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пального</w:t>
            </w:r>
            <w:proofErr w:type="spellEnd"/>
            <w:proofErr w:type="gramEnd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 района,</w:t>
            </w:r>
          </w:p>
          <w:p w:rsidR="00CE4DBE" w:rsidRPr="00CE4DBE" w:rsidRDefault="00CE4DB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 w:val="28"/>
                <w:szCs w:val="28"/>
              </w:rPr>
            </w:pP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proofErr w:type="gramStart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Сортаваль</w:t>
            </w:r>
            <w:r w:rsidR="00711E9E">
              <w:rPr>
                <w:rStyle w:val="24"/>
                <w:rFonts w:eastAsiaTheme="minorEastAsia"/>
                <w:b w:val="0"/>
                <w:sz w:val="28"/>
                <w:szCs w:val="28"/>
              </w:rPr>
              <w:t>-</w:t>
            </w: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ское</w:t>
            </w:r>
            <w:proofErr w:type="spellEnd"/>
            <w:proofErr w:type="gramEnd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 городское поселение»,</w:t>
            </w:r>
          </w:p>
          <w:p w:rsidR="00CE4DBE" w:rsidRPr="00CE4DBE" w:rsidRDefault="00CE4DB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 w:val="28"/>
                <w:szCs w:val="28"/>
              </w:rPr>
            </w:pP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Сегежского</w:t>
            </w:r>
            <w:proofErr w:type="spellEnd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 муниципального района,</w:t>
            </w:r>
          </w:p>
          <w:p w:rsidR="00CE4DBE" w:rsidRPr="00CE4DBE" w:rsidRDefault="00CE4DB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 w:val="28"/>
                <w:szCs w:val="28"/>
              </w:rPr>
            </w:pP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Калевальского</w:t>
            </w:r>
            <w:proofErr w:type="spellEnd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="00376E38">
              <w:rPr>
                <w:rStyle w:val="24"/>
                <w:rFonts w:eastAsiaTheme="minorEastAsia"/>
                <w:b w:val="0"/>
                <w:sz w:val="28"/>
                <w:szCs w:val="28"/>
              </w:rPr>
              <w:t>национ</w:t>
            </w: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ального района,</w:t>
            </w:r>
          </w:p>
          <w:p w:rsidR="00CE4DBE" w:rsidRPr="00CE4DBE" w:rsidRDefault="00CE4DB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 w:val="28"/>
                <w:szCs w:val="28"/>
              </w:rPr>
            </w:pP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Пудожского</w:t>
            </w:r>
            <w:proofErr w:type="spellEnd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 муниципального района,</w:t>
            </w:r>
          </w:p>
          <w:p w:rsidR="00CE4DBE" w:rsidRPr="00CE4DBE" w:rsidRDefault="00CE4DB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 w:val="28"/>
                <w:szCs w:val="28"/>
              </w:rPr>
            </w:pP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proofErr w:type="gramStart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Беломор</w:t>
            </w:r>
            <w:r w:rsidR="00711E9E">
              <w:rPr>
                <w:rStyle w:val="24"/>
                <w:rFonts w:eastAsiaTheme="minorEastAsia"/>
                <w:b w:val="0"/>
                <w:sz w:val="28"/>
                <w:szCs w:val="28"/>
              </w:rPr>
              <w:t>-</w:t>
            </w: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ский</w:t>
            </w:r>
            <w:proofErr w:type="spellEnd"/>
            <w:proofErr w:type="gramEnd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 муниципальный район»,</w:t>
            </w:r>
          </w:p>
          <w:p w:rsidR="00CE4DBE" w:rsidRPr="00CE4DBE" w:rsidRDefault="00CE4DB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 w:val="28"/>
                <w:szCs w:val="28"/>
              </w:rPr>
            </w:pP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Суоярвский</w:t>
            </w:r>
            <w:proofErr w:type="spellEnd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 район»,</w:t>
            </w:r>
          </w:p>
          <w:p w:rsidR="00CE4DBE" w:rsidRPr="00CE4DBE" w:rsidRDefault="00CE4DBE" w:rsidP="00CE4DBE">
            <w:pPr>
              <w:ind w:left="132" w:right="131"/>
              <w:jc w:val="both"/>
              <w:rPr>
                <w:szCs w:val="28"/>
              </w:rPr>
            </w:pPr>
            <w:r w:rsidRPr="00CE4DBE">
              <w:rPr>
                <w:szCs w:val="28"/>
              </w:rPr>
              <w:t>администрация Муезерского муниципального района,</w:t>
            </w:r>
          </w:p>
          <w:p w:rsidR="00CE4DBE" w:rsidRPr="00CE4DBE" w:rsidRDefault="00CE4DBE" w:rsidP="00CE4DBE">
            <w:pPr>
              <w:ind w:left="132"/>
              <w:rPr>
                <w:szCs w:val="28"/>
              </w:rPr>
            </w:pPr>
            <w:r w:rsidRPr="00CE4DBE">
              <w:rPr>
                <w:szCs w:val="28"/>
              </w:rPr>
              <w:t xml:space="preserve">администрация </w:t>
            </w:r>
            <w:proofErr w:type="spellStart"/>
            <w:r w:rsidRPr="00CE4DBE">
              <w:rPr>
                <w:szCs w:val="28"/>
              </w:rPr>
              <w:t>Кондопожского</w:t>
            </w:r>
            <w:proofErr w:type="spellEnd"/>
            <w:r w:rsidRPr="00CE4DBE">
              <w:rPr>
                <w:szCs w:val="28"/>
              </w:rPr>
              <w:t xml:space="preserve"> муниципального района,</w:t>
            </w:r>
          </w:p>
          <w:p w:rsidR="00CE4DBE" w:rsidRPr="00CE4DBE" w:rsidRDefault="00CE4DB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 w:val="28"/>
                <w:szCs w:val="28"/>
              </w:rPr>
            </w:pPr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>Костомукшского</w:t>
            </w:r>
            <w:proofErr w:type="spellEnd"/>
            <w:r w:rsidRPr="00CE4DBE">
              <w:rPr>
                <w:rStyle w:val="24"/>
                <w:rFonts w:eastAsiaTheme="minorEastAsia"/>
                <w:b w:val="0"/>
                <w:sz w:val="28"/>
                <w:szCs w:val="28"/>
              </w:rPr>
              <w:t xml:space="preserve"> городского округа,</w:t>
            </w:r>
          </w:p>
          <w:p w:rsidR="00CE4DBE" w:rsidRDefault="00CE4DBE" w:rsidP="00CE4DBE">
            <w:pPr>
              <w:ind w:left="132" w:right="131"/>
              <w:jc w:val="both"/>
              <w:rPr>
                <w:szCs w:val="28"/>
              </w:rPr>
            </w:pPr>
            <w:r w:rsidRPr="00CE4DBE">
              <w:rPr>
                <w:szCs w:val="28"/>
              </w:rPr>
              <w:t>администрация Петрозаводского городского округа</w:t>
            </w:r>
          </w:p>
          <w:p w:rsidR="00711E9E" w:rsidRDefault="00711E9E" w:rsidP="00CE4DBE">
            <w:pPr>
              <w:ind w:left="132" w:right="131"/>
              <w:jc w:val="both"/>
              <w:rPr>
                <w:rStyle w:val="24"/>
                <w:rFonts w:eastAsiaTheme="minorEastAsia"/>
                <w:b w:val="0"/>
                <w:szCs w:val="28"/>
              </w:rPr>
            </w:pPr>
          </w:p>
        </w:tc>
      </w:tr>
    </w:tbl>
    <w:p w:rsidR="00711E9E" w:rsidRDefault="00711E9E" w:rsidP="00CE4DBE">
      <w:pPr>
        <w:tabs>
          <w:tab w:val="left" w:pos="2057"/>
          <w:tab w:val="center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CE4DBE" w:rsidRDefault="00CE4DBE" w:rsidP="00CE4DBE">
      <w:pPr>
        <w:tabs>
          <w:tab w:val="left" w:pos="2057"/>
          <w:tab w:val="center" w:pos="5103"/>
        </w:tabs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gramStart"/>
      <w:r>
        <w:rPr>
          <w:sz w:val="24"/>
          <w:szCs w:val="24"/>
        </w:rPr>
        <w:t>С учетом расходов на разработку проектной документации в предыдущие периоды за счет средств бюджета Сортавальского городского поселения в размере</w:t>
      </w:r>
      <w:proofErr w:type="gramEnd"/>
      <w:r>
        <w:rPr>
          <w:sz w:val="24"/>
          <w:szCs w:val="24"/>
        </w:rPr>
        <w:t xml:space="preserve"> 4060,0 тыс. рублей.</w:t>
      </w:r>
    </w:p>
    <w:p w:rsidR="00CE4DBE" w:rsidRDefault="00CE4DBE" w:rsidP="00CE4DBE">
      <w:pPr>
        <w:tabs>
          <w:tab w:val="left" w:pos="2057"/>
          <w:tab w:val="center" w:pos="5103"/>
        </w:tabs>
        <w:jc w:val="both"/>
        <w:rPr>
          <w:sz w:val="20"/>
        </w:rPr>
      </w:pPr>
    </w:p>
    <w:p w:rsidR="00CE4DBE" w:rsidRDefault="00CE4DBE" w:rsidP="00CE4DBE">
      <w:pPr>
        <w:tabs>
          <w:tab w:val="left" w:pos="2057"/>
          <w:tab w:val="center" w:pos="5103"/>
        </w:tabs>
        <w:jc w:val="center"/>
        <w:rPr>
          <w:szCs w:val="28"/>
        </w:rPr>
      </w:pPr>
    </w:p>
    <w:p w:rsidR="00711E9E" w:rsidRDefault="00711E9E" w:rsidP="00CE4DBE">
      <w:pPr>
        <w:tabs>
          <w:tab w:val="left" w:pos="2057"/>
          <w:tab w:val="center" w:pos="5103"/>
        </w:tabs>
        <w:jc w:val="center"/>
        <w:rPr>
          <w:szCs w:val="28"/>
        </w:rPr>
      </w:pPr>
    </w:p>
    <w:p w:rsidR="00711E9E" w:rsidRDefault="00711E9E" w:rsidP="00CE4DBE">
      <w:pPr>
        <w:tabs>
          <w:tab w:val="left" w:pos="2057"/>
          <w:tab w:val="center" w:pos="5103"/>
        </w:tabs>
        <w:jc w:val="center"/>
        <w:rPr>
          <w:szCs w:val="28"/>
        </w:rPr>
      </w:pPr>
    </w:p>
    <w:p w:rsidR="0035737B" w:rsidRPr="0035737B" w:rsidRDefault="00CE4DBE" w:rsidP="0035737B">
      <w:pPr>
        <w:pStyle w:val="ad"/>
        <w:numPr>
          <w:ilvl w:val="0"/>
          <w:numId w:val="47"/>
        </w:numPr>
        <w:tabs>
          <w:tab w:val="left" w:pos="2057"/>
          <w:tab w:val="center" w:pos="5103"/>
        </w:tabs>
        <w:jc w:val="center"/>
        <w:rPr>
          <w:b/>
          <w:szCs w:val="28"/>
        </w:rPr>
      </w:pPr>
      <w:r w:rsidRPr="0035737B">
        <w:rPr>
          <w:b/>
          <w:szCs w:val="28"/>
        </w:rPr>
        <w:lastRenderedPageBreak/>
        <w:t xml:space="preserve">Общая характеристика состояния водоснабжения </w:t>
      </w:r>
    </w:p>
    <w:p w:rsidR="00CE4DBE" w:rsidRPr="0035737B" w:rsidRDefault="00CE4DBE" w:rsidP="0035737B">
      <w:pPr>
        <w:tabs>
          <w:tab w:val="left" w:pos="2057"/>
          <w:tab w:val="center" w:pos="5103"/>
        </w:tabs>
        <w:ind w:left="150"/>
        <w:jc w:val="center"/>
        <w:rPr>
          <w:b/>
          <w:szCs w:val="28"/>
        </w:rPr>
      </w:pPr>
      <w:r w:rsidRPr="0035737B">
        <w:rPr>
          <w:b/>
          <w:szCs w:val="28"/>
        </w:rPr>
        <w:t>на территории Республики Карелия</w:t>
      </w:r>
    </w:p>
    <w:p w:rsidR="00CE4DBE" w:rsidRDefault="00CE4DBE" w:rsidP="00CE4DBE">
      <w:pPr>
        <w:tabs>
          <w:tab w:val="left" w:pos="2057"/>
          <w:tab w:val="center" w:pos="5103"/>
        </w:tabs>
        <w:jc w:val="center"/>
        <w:rPr>
          <w:szCs w:val="28"/>
        </w:rPr>
      </w:pPr>
    </w:p>
    <w:p w:rsidR="00CE4DBE" w:rsidRDefault="00CE4DBE" w:rsidP="00CE4DB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Приоритеты и цели государственной политики в сфере водоснабжения определены в соответствии с Указом Президента Российской Федерации </w:t>
      </w:r>
      <w:r>
        <w:rPr>
          <w:szCs w:val="28"/>
        </w:rPr>
        <w:br/>
        <w:t>от 7 мая 2018 года № 204 «О национальных целях и стратегических задачах развития Российской Федерации на период до 2024 года»,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а также</w:t>
      </w:r>
      <w:proofErr w:type="gramEnd"/>
      <w:r>
        <w:rPr>
          <w:szCs w:val="28"/>
        </w:rPr>
        <w:t xml:space="preserve"> Концепцией социально-экономического развития Республики Карелия на период до 2022 года, утвержденной постановлением Законодательного Собрания Республики Карелия от 19 апреля 2018 года № 621-VI ЗС.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Важным направлением социально-экономического развития Республики Карелия является обеспечение чистой питьевой водой населения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комплекса.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О сложной ситуации в сфере питьевого водоснабжения свидетельствует сводный отчет Министерства строительства, жилищно-коммунального хозяйства и энергетики Республики Карелия о результатах оценки состояния централизованных систем водоснабжения и водоподготовки в разрезе муниципальных образований в Республике Карелия, участвующих в региональном проекте, включающий информацию о количестве объектов, их основных характеристиках, состоянии, проблемных вопросах.</w:t>
      </w:r>
    </w:p>
    <w:p w:rsidR="00CE4DBE" w:rsidRDefault="00CE4DBE" w:rsidP="00CE4DBE">
      <w:pPr>
        <w:tabs>
          <w:tab w:val="left" w:pos="2057"/>
          <w:tab w:val="center" w:pos="5103"/>
        </w:tabs>
        <w:jc w:val="center"/>
        <w:rPr>
          <w:b/>
          <w:szCs w:val="28"/>
        </w:rPr>
      </w:pPr>
    </w:p>
    <w:p w:rsidR="00CE4DBE" w:rsidRDefault="00CE4DBE" w:rsidP="00CE4DBE">
      <w:pPr>
        <w:tabs>
          <w:tab w:val="left" w:pos="2057"/>
          <w:tab w:val="center" w:pos="5103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Мероприятия Программы</w:t>
      </w:r>
    </w:p>
    <w:p w:rsidR="00CE4DBE" w:rsidRDefault="00CE4DBE" w:rsidP="00CE4DBE">
      <w:pPr>
        <w:tabs>
          <w:tab w:val="left" w:pos="2057"/>
          <w:tab w:val="center" w:pos="5103"/>
        </w:tabs>
        <w:jc w:val="both"/>
        <w:rPr>
          <w:szCs w:val="28"/>
        </w:rPr>
      </w:pPr>
    </w:p>
    <w:p w:rsidR="00CE4DBE" w:rsidRDefault="00CE4DBE" w:rsidP="00CE4DB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рамках реализации Программы запланированы строительство и реконструкция (модернизация) объектов питьевого водоснабжения с учетом оценки качества и безопасности питьевой воды, а также оценки эффективности модернизации систем водоснабжения, относимых к категориям чрезвычайно высокого и высокого риска причинения вреда здоровью потребителей по критериям безопасности.</w:t>
      </w:r>
      <w:proofErr w:type="gramEnd"/>
    </w:p>
    <w:p w:rsidR="00CE4DBE" w:rsidRDefault="00CE4DBE" w:rsidP="00CE4DB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Планируется провести мероприятия в следующих населенных пунктах, внесенных в план-график, в которых показатель «доля населения Республики Карелия, обеспеченного качественной питьевой водой из систем централизованного водоснабжения, в общей численности населения Республики Карелия» ниже 70%: г. Сортавал</w:t>
      </w:r>
      <w:r w:rsidR="00711E9E">
        <w:rPr>
          <w:szCs w:val="28"/>
        </w:rPr>
        <w:t>е</w:t>
      </w:r>
      <w:r>
        <w:rPr>
          <w:szCs w:val="28"/>
        </w:rPr>
        <w:t>, г. Пудож</w:t>
      </w:r>
      <w:r w:rsidR="00711E9E">
        <w:rPr>
          <w:szCs w:val="28"/>
        </w:rPr>
        <w:t>е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Калевала, </w:t>
      </w:r>
      <w:r>
        <w:rPr>
          <w:szCs w:val="28"/>
        </w:rPr>
        <w:br/>
        <w:t>г. Сегеж</w:t>
      </w:r>
      <w:r w:rsidR="00711E9E">
        <w:rPr>
          <w:szCs w:val="28"/>
        </w:rPr>
        <w:t>е</w:t>
      </w:r>
      <w:r>
        <w:rPr>
          <w:szCs w:val="28"/>
        </w:rPr>
        <w:t>, г. Беломорск</w:t>
      </w:r>
      <w:r w:rsidR="00711E9E">
        <w:rPr>
          <w:szCs w:val="28"/>
        </w:rPr>
        <w:t>е</w:t>
      </w:r>
      <w:r>
        <w:rPr>
          <w:szCs w:val="28"/>
        </w:rPr>
        <w:t>, г. Суоярви, г. Кем</w:t>
      </w:r>
      <w:r w:rsidR="00711E9E">
        <w:rPr>
          <w:szCs w:val="28"/>
        </w:rPr>
        <w:t>и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Муезерск</w:t>
      </w:r>
      <w:r w:rsidR="00711E9E">
        <w:rPr>
          <w:szCs w:val="28"/>
        </w:rPr>
        <w:t>ом</w:t>
      </w:r>
      <w:r>
        <w:rPr>
          <w:szCs w:val="28"/>
        </w:rPr>
        <w:t>, пос. Матросы, а также мероприятия в рамках утвержденных инвестиционных программ организаций</w:t>
      </w:r>
      <w:proofErr w:type="gramEnd"/>
      <w:r>
        <w:rPr>
          <w:szCs w:val="28"/>
        </w:rPr>
        <w:t xml:space="preserve"> в сфере водоснабжения.</w:t>
      </w:r>
    </w:p>
    <w:p w:rsidR="00CE4DBE" w:rsidRDefault="00711E9E" w:rsidP="00CE4DBE">
      <w:pPr>
        <w:ind w:firstLine="709"/>
        <w:jc w:val="both"/>
        <w:rPr>
          <w:szCs w:val="28"/>
        </w:rPr>
      </w:pPr>
      <w:r>
        <w:rPr>
          <w:szCs w:val="28"/>
        </w:rPr>
        <w:t>Ха</w:t>
      </w:r>
      <w:r w:rsidR="00CE4DBE">
        <w:rPr>
          <w:szCs w:val="28"/>
        </w:rPr>
        <w:t xml:space="preserve">рактеристика объектов </w:t>
      </w:r>
      <w:r>
        <w:rPr>
          <w:szCs w:val="28"/>
        </w:rPr>
        <w:t xml:space="preserve"> </w:t>
      </w:r>
      <w:r w:rsidR="00CE4DBE">
        <w:rPr>
          <w:szCs w:val="28"/>
        </w:rPr>
        <w:t>Программы приведен</w:t>
      </w:r>
      <w:r>
        <w:rPr>
          <w:szCs w:val="28"/>
        </w:rPr>
        <w:t xml:space="preserve">а </w:t>
      </w:r>
      <w:r w:rsidR="00CE4DBE">
        <w:rPr>
          <w:szCs w:val="28"/>
        </w:rPr>
        <w:t>в приложении 1 к Программе.</w:t>
      </w:r>
    </w:p>
    <w:p w:rsidR="00CE4DBE" w:rsidRDefault="00CE4DBE" w:rsidP="00CE4DBE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III</w:t>
      </w:r>
      <w:r>
        <w:rPr>
          <w:b/>
          <w:szCs w:val="28"/>
        </w:rPr>
        <w:t>. Анализ результатов оценки централизованных систем водоснабжения</w:t>
      </w:r>
    </w:p>
    <w:p w:rsidR="00CE4DBE" w:rsidRDefault="00CE4DBE" w:rsidP="00CE4DBE">
      <w:pPr>
        <w:ind w:firstLine="709"/>
        <w:jc w:val="center"/>
        <w:rPr>
          <w:b/>
          <w:szCs w:val="28"/>
        </w:rPr>
      </w:pPr>
    </w:p>
    <w:p w:rsidR="00CE4DBE" w:rsidRDefault="00CE4DBE" w:rsidP="00CE4DB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 результатам оценки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в 2018 году в Республике Карелия питьевым водоснабжением обеспечено 550 352 человека (88,4%)  при численности населения 622 484 человека, из них городское население – </w:t>
      </w:r>
      <w:r>
        <w:rPr>
          <w:szCs w:val="28"/>
        </w:rPr>
        <w:br/>
        <w:t>496 019 человек  (90,1%) и сельское население – 54 333 человека (9,9%).</w:t>
      </w:r>
      <w:proofErr w:type="gramEnd"/>
      <w:r>
        <w:rPr>
          <w:szCs w:val="28"/>
        </w:rPr>
        <w:t xml:space="preserve"> </w:t>
      </w:r>
      <w:r w:rsidR="00711E9E">
        <w:rPr>
          <w:szCs w:val="28"/>
        </w:rPr>
        <w:t>К</w:t>
      </w:r>
      <w:r>
        <w:rPr>
          <w:szCs w:val="28"/>
        </w:rPr>
        <w:t xml:space="preserve">ачественной водой из централизованной системы водоснабжения обеспечено 468 959 человек (75,0%). 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 xml:space="preserve">В 2018 году централизованное хозяйственно-питьевое водоснабжение населения осуществлялось из 158 источников водоснабжения, из которых </w:t>
      </w:r>
      <w:r>
        <w:rPr>
          <w:szCs w:val="28"/>
        </w:rPr>
        <w:br/>
        <w:t xml:space="preserve">79 (50,0%) – поверхностные и 79 (50,0%) – подземные. 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Основными причинами неудовлетворительного качества питьевой воды в республике являются: </w:t>
      </w:r>
    </w:p>
    <w:p w:rsidR="00CE4DBE" w:rsidRDefault="00CE4DBE" w:rsidP="00CE4DBE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отсутствие водопроводных очистных сооружений и  неэффективные (старые) технологии водоочистки;</w:t>
      </w:r>
    </w:p>
    <w:p w:rsidR="00CE4DBE" w:rsidRDefault="00CE4DBE" w:rsidP="00CE4DBE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факторы природного характера;</w:t>
      </w:r>
    </w:p>
    <w:p w:rsidR="00CE4DBE" w:rsidRDefault="00CE4DBE" w:rsidP="00CE4DBE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отсутствие или ненадлежащее состояние зон санитарной охраны </w:t>
      </w:r>
      <w:proofErr w:type="spellStart"/>
      <w:r>
        <w:rPr>
          <w:szCs w:val="28"/>
        </w:rPr>
        <w:t>водоисточников</w:t>
      </w:r>
      <w:proofErr w:type="spellEnd"/>
      <w:r>
        <w:rPr>
          <w:szCs w:val="28"/>
        </w:rPr>
        <w:t>;</w:t>
      </w:r>
    </w:p>
    <w:p w:rsidR="00CE4DBE" w:rsidRDefault="00CE4DBE" w:rsidP="00CE4DBE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низкое санитарно-техническое состояние существующих водопроводных сетей и сооружений;</w:t>
      </w:r>
    </w:p>
    <w:p w:rsidR="00CE4DBE" w:rsidRDefault="00CE4DBE" w:rsidP="00CE4DBE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высокий амортизационный и физический износ сетей и объектов водоснабжения на территории республики.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 xml:space="preserve">Показатель «доля населения Республики Карелия, обеспеченного качественной питьевой водой из систем централизованного водоснабжения, в общей численности населения Республики Карелия» ниже 70% в следующих районах: Беломорском,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Муезерском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Сегежском</w:t>
      </w:r>
      <w:proofErr w:type="spellEnd"/>
      <w:r>
        <w:rPr>
          <w:szCs w:val="28"/>
        </w:rPr>
        <w:t xml:space="preserve">, Сортавальском,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>.</w:t>
      </w:r>
    </w:p>
    <w:p w:rsidR="00CE4DBE" w:rsidRDefault="00CE4DBE" w:rsidP="00CE4DBE">
      <w:pPr>
        <w:ind w:firstLine="709"/>
        <w:jc w:val="center"/>
        <w:rPr>
          <w:b/>
          <w:szCs w:val="28"/>
        </w:rPr>
      </w:pPr>
    </w:p>
    <w:p w:rsidR="00CE4DBE" w:rsidRDefault="00CE4DBE" w:rsidP="00CE4DBE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Механизм реализации мероприятий Программы</w:t>
      </w:r>
    </w:p>
    <w:p w:rsidR="00CE4DBE" w:rsidRDefault="00CE4DBE" w:rsidP="00CE4DBE">
      <w:pPr>
        <w:ind w:firstLine="709"/>
        <w:jc w:val="both"/>
        <w:rPr>
          <w:szCs w:val="28"/>
        </w:rPr>
      </w:pPr>
    </w:p>
    <w:p w:rsidR="00CE4DBE" w:rsidRDefault="00CE4DBE" w:rsidP="00CE4DB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Реализацию мероприятий Программы осуществляют Министерство строительства, жилищно-коммунального хозяйства и энергетики Республики Карелия и органы местного самоуправления муниципальных районов Республики Карелия в соответствии с Условиями предоставления и расходования субсидий местным бюджетам и</w:t>
      </w:r>
      <w:r w:rsidR="00711E9E">
        <w:rPr>
          <w:szCs w:val="28"/>
        </w:rPr>
        <w:t>з</w:t>
      </w:r>
      <w:r>
        <w:rPr>
          <w:szCs w:val="28"/>
        </w:rPr>
        <w:t xml:space="preserve"> бюджета Республики Карелия, Критери</w:t>
      </w:r>
      <w:r w:rsidR="00711E9E">
        <w:rPr>
          <w:szCs w:val="28"/>
        </w:rPr>
        <w:t xml:space="preserve">ями </w:t>
      </w:r>
      <w:r>
        <w:rPr>
          <w:szCs w:val="28"/>
        </w:rPr>
        <w:t xml:space="preserve"> отбора муниципальных образований для предоставления субсидий местным бюджетам из бюджета Республики Карелия</w:t>
      </w:r>
      <w:r w:rsidR="00711E9E">
        <w:rPr>
          <w:szCs w:val="28"/>
        </w:rPr>
        <w:t xml:space="preserve">, утвержденными постановлением Правительства Республики Карелия от 19 декабря 2017 года              № 452-П, </w:t>
      </w:r>
      <w:r>
        <w:rPr>
          <w:szCs w:val="28"/>
        </w:rPr>
        <w:t xml:space="preserve"> и Методик</w:t>
      </w:r>
      <w:r w:rsidR="00711E9E">
        <w:rPr>
          <w:szCs w:val="28"/>
        </w:rPr>
        <w:t>ами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распределения субсидий местным бюджетам из бюджета Республики Карелия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мероприятий по </w:t>
      </w:r>
      <w:r>
        <w:rPr>
          <w:szCs w:val="28"/>
        </w:rPr>
        <w:lastRenderedPageBreak/>
        <w:t>строительству (реконструкции) объектов питьевого водоснабжения в рамках реализации федерального проекта «Чистая вода» национального проекта «Экология», утвержденн</w:t>
      </w:r>
      <w:r w:rsidR="00711E9E">
        <w:rPr>
          <w:szCs w:val="28"/>
        </w:rPr>
        <w:t>ыми</w:t>
      </w:r>
      <w:r>
        <w:rPr>
          <w:szCs w:val="28"/>
        </w:rPr>
        <w:t xml:space="preserve"> </w:t>
      </w:r>
      <w:r w:rsidR="00711E9E">
        <w:rPr>
          <w:szCs w:val="28"/>
        </w:rPr>
        <w:t>п</w:t>
      </w:r>
      <w:r>
        <w:rPr>
          <w:szCs w:val="28"/>
        </w:rPr>
        <w:t xml:space="preserve">остановлением </w:t>
      </w:r>
      <w:r w:rsidR="00711E9E">
        <w:rPr>
          <w:szCs w:val="28"/>
        </w:rPr>
        <w:t xml:space="preserve">Правительства </w:t>
      </w:r>
      <w:r>
        <w:rPr>
          <w:szCs w:val="28"/>
        </w:rPr>
        <w:t xml:space="preserve">Республики Карелия от </w:t>
      </w:r>
      <w:r w:rsidR="00711E9E">
        <w:rPr>
          <w:szCs w:val="28"/>
        </w:rPr>
        <w:t xml:space="preserve">26 ноября </w:t>
      </w:r>
      <w:r>
        <w:rPr>
          <w:szCs w:val="28"/>
        </w:rPr>
        <w:t>201</w:t>
      </w:r>
      <w:r w:rsidR="00711E9E">
        <w:rPr>
          <w:szCs w:val="28"/>
        </w:rPr>
        <w:t>4</w:t>
      </w:r>
      <w:r>
        <w:rPr>
          <w:szCs w:val="28"/>
        </w:rPr>
        <w:t xml:space="preserve"> года №</w:t>
      </w:r>
      <w:r w:rsidR="00711E9E">
        <w:rPr>
          <w:szCs w:val="28"/>
        </w:rPr>
        <w:t xml:space="preserve"> </w:t>
      </w:r>
      <w:r>
        <w:rPr>
          <w:szCs w:val="28"/>
        </w:rPr>
        <w:t>3</w:t>
      </w:r>
      <w:r w:rsidR="00711E9E">
        <w:rPr>
          <w:szCs w:val="28"/>
        </w:rPr>
        <w:t>51</w:t>
      </w:r>
      <w:r>
        <w:rPr>
          <w:szCs w:val="28"/>
        </w:rPr>
        <w:t xml:space="preserve">-П, а также с учетом рекомендаций по отбору объектов, утвержденных </w:t>
      </w:r>
      <w:r w:rsidR="00711E9E">
        <w:rPr>
          <w:szCs w:val="28"/>
        </w:rPr>
        <w:t>п</w:t>
      </w:r>
      <w:r>
        <w:rPr>
          <w:szCs w:val="28"/>
        </w:rPr>
        <w:t>риказом Министерства строительства и жилищно-коммунального хозяйства Российской Федерации</w:t>
      </w:r>
      <w:r w:rsidR="00711E9E">
        <w:rPr>
          <w:szCs w:val="28"/>
        </w:rPr>
        <w:t xml:space="preserve"> </w:t>
      </w:r>
      <w:r>
        <w:rPr>
          <w:szCs w:val="28"/>
        </w:rPr>
        <w:t xml:space="preserve">от 30 апреля </w:t>
      </w:r>
      <w:r w:rsidR="00711E9E">
        <w:rPr>
          <w:szCs w:val="28"/>
        </w:rPr>
        <w:t xml:space="preserve">          </w:t>
      </w:r>
      <w:r>
        <w:rPr>
          <w:szCs w:val="28"/>
        </w:rPr>
        <w:t>2019</w:t>
      </w:r>
      <w:proofErr w:type="gramEnd"/>
      <w:r>
        <w:rPr>
          <w:szCs w:val="28"/>
        </w:rPr>
        <w:t xml:space="preserve"> года №</w:t>
      </w:r>
      <w:r w:rsidR="00711E9E">
        <w:rPr>
          <w:szCs w:val="28"/>
        </w:rPr>
        <w:t xml:space="preserve"> </w:t>
      </w:r>
      <w:r>
        <w:rPr>
          <w:szCs w:val="28"/>
        </w:rPr>
        <w:t>253/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утверждении методических рекомендаций по подготовке региональных программ по повышению качества водоснабжения на период с 2019 – 2024 год».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 xml:space="preserve">Финансирование мероприятий Программы осуществляется в рамках </w:t>
      </w:r>
      <w:r w:rsidR="00711E9E">
        <w:rPr>
          <w:szCs w:val="28"/>
        </w:rPr>
        <w:t>г</w:t>
      </w:r>
      <w:r>
        <w:rPr>
          <w:szCs w:val="28"/>
        </w:rPr>
        <w:t>осударственной программы Республики Карелия «Обеспечение доступным и комфортным жильем и жилищно-коммунальными услугами», утвержденной постановлением Правительства Республики Карелия от 26 ноября 2014 года № 351-П.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Всего на реализацию мероприятий Программы будет выделено                              2 240 599,8 тыс. рублей, в том числе: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за счет средств федерального бюджета – 1 300 817,5 тыс. рублей;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за счет средств бюджета Республики Карелия –                                                 87 084,7 тыс. рублей;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за счет средств местных бюджетов – 13 041,6 тыс. рублей;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за счет внебюджетных средств – 839 656,0 тыс. рублей.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 xml:space="preserve">Привлечение внебюджетных источников финансирования мероприятий </w:t>
      </w:r>
      <w:r w:rsidR="00711E9E">
        <w:rPr>
          <w:szCs w:val="28"/>
        </w:rPr>
        <w:t>П</w:t>
      </w:r>
      <w:r>
        <w:rPr>
          <w:szCs w:val="28"/>
        </w:rPr>
        <w:t>рограммы предусмотрено в рамках утвержденных инвестиционных программ организаций в сфере водоснабжения.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Финансовое обеспечение реализации мероприятий Программы по годам приведено в приложении 2 к Программе.</w:t>
      </w:r>
    </w:p>
    <w:p w:rsidR="00CE4DBE" w:rsidRDefault="00CE4DBE" w:rsidP="00556C7D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Объемы финансовых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ограммы являются прогнозными и подлежат ежегодному уточнению.</w:t>
      </w:r>
    </w:p>
    <w:p w:rsidR="00FD2068" w:rsidRDefault="00FD2068" w:rsidP="00556C7D">
      <w:pPr>
        <w:spacing w:after="120"/>
        <w:ind w:firstLine="709"/>
        <w:jc w:val="both"/>
        <w:rPr>
          <w:szCs w:val="28"/>
        </w:rPr>
      </w:pPr>
    </w:p>
    <w:p w:rsidR="00CE4DBE" w:rsidRDefault="00FD2068" w:rsidP="00CE4DBE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CE4DBE">
        <w:rPr>
          <w:b/>
          <w:szCs w:val="28"/>
        </w:rPr>
        <w:t>. Бюджетная эффективность Программы</w:t>
      </w:r>
    </w:p>
    <w:p w:rsidR="00CE4DBE" w:rsidRDefault="00CE4DBE" w:rsidP="00CE4DBE">
      <w:pPr>
        <w:ind w:firstLine="709"/>
        <w:jc w:val="center"/>
        <w:rPr>
          <w:b/>
          <w:szCs w:val="28"/>
        </w:rPr>
      </w:pPr>
    </w:p>
    <w:p w:rsidR="00CE4DBE" w:rsidRDefault="00CE4DBE" w:rsidP="00556C7D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Показатель бюджетной эффективности реализации мероприятий по модернизации объекта (Е) определяется по следующей формуле:</w:t>
      </w:r>
    </w:p>
    <w:p w:rsidR="00CE4DBE" w:rsidRDefault="00CE4DBE" w:rsidP="00CE4DBE">
      <w:pPr>
        <w:jc w:val="center"/>
        <w:rPr>
          <w:szCs w:val="28"/>
          <w:lang w:eastAsia="en-US"/>
        </w:rPr>
      </w:pPr>
      <m:oMath>
        <m:r>
          <m:rPr>
            <m:sty m:val="p"/>
          </m:rPr>
          <w:rPr>
            <w:rFonts w:ascii="Cambria Math"/>
            <w:szCs w:val="28"/>
          </w:rPr>
          <m:t xml:space="preserve">E= </m:t>
        </m:r>
        <m:f>
          <m:fPr>
            <m:ctrlPr>
              <w:rPr>
                <w:rFonts w:ascii="Cambria Math" w:hAnsi="Cambria Math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/>
                <w:szCs w:val="28"/>
              </w:rPr>
              <m:t>P</m:t>
            </m:r>
          </m:den>
        </m:f>
      </m:oMath>
      <w:r>
        <w:rPr>
          <w:szCs w:val="28"/>
          <w:lang w:eastAsia="en-US"/>
        </w:rPr>
        <w:t xml:space="preserve">, </w:t>
      </w:r>
    </w:p>
    <w:p w:rsidR="00CE4DBE" w:rsidRDefault="00CE4DBE" w:rsidP="00CE4DBE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где: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 xml:space="preserve">V – объем финансирования из федерального бюджета, тыс. рублей; 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P – доля населения, обеспеченного качественной питьевой водой из систем централизованного водоснабжения на территории муниципального образования, в общей численности населения муниципального образования, процентов.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Показатели бюджетной эффективности реализации мероприятий по модернизации объекта представлены в таблице 1.</w:t>
      </w:r>
    </w:p>
    <w:p w:rsidR="00CE4DBE" w:rsidRDefault="00CE4DBE" w:rsidP="00CE4DBE">
      <w:pPr>
        <w:ind w:firstLine="709"/>
        <w:jc w:val="right"/>
        <w:rPr>
          <w:szCs w:val="28"/>
        </w:rPr>
      </w:pPr>
    </w:p>
    <w:p w:rsidR="00CE4DBE" w:rsidRDefault="00CE4DBE" w:rsidP="00CE4DBE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p w:rsidR="00CE4DBE" w:rsidRDefault="00CE4DBE" w:rsidP="00CE4DBE">
      <w:pPr>
        <w:ind w:firstLine="709"/>
        <w:jc w:val="center"/>
        <w:rPr>
          <w:szCs w:val="28"/>
        </w:rPr>
      </w:pPr>
      <w:r>
        <w:rPr>
          <w:szCs w:val="28"/>
        </w:rPr>
        <w:t xml:space="preserve">Показатели бюджетной </w:t>
      </w:r>
      <w:r w:rsidR="00711E9E">
        <w:rPr>
          <w:szCs w:val="28"/>
        </w:rPr>
        <w:t xml:space="preserve">эффективности </w:t>
      </w:r>
      <w:r>
        <w:rPr>
          <w:szCs w:val="28"/>
        </w:rPr>
        <w:t xml:space="preserve">реализации мероприятий </w:t>
      </w:r>
      <w:r>
        <w:rPr>
          <w:szCs w:val="28"/>
        </w:rPr>
        <w:br/>
        <w:t>по модернизации объекта</w:t>
      </w:r>
    </w:p>
    <w:p w:rsidR="00711E9E" w:rsidRDefault="00711E9E" w:rsidP="00CE4DBE">
      <w:pPr>
        <w:ind w:firstLine="709"/>
        <w:jc w:val="center"/>
        <w:rPr>
          <w:szCs w:val="28"/>
        </w:rPr>
      </w:pPr>
    </w:p>
    <w:tbl>
      <w:tblPr>
        <w:tblStyle w:val="afc"/>
        <w:tblW w:w="9714" w:type="dxa"/>
        <w:tblLook w:val="04A0"/>
      </w:tblPr>
      <w:tblGrid>
        <w:gridCol w:w="1283"/>
        <w:gridCol w:w="4224"/>
        <w:gridCol w:w="1401"/>
        <w:gridCol w:w="1433"/>
        <w:gridCol w:w="13"/>
        <w:gridCol w:w="1360"/>
      </w:tblGrid>
      <w:tr w:rsidR="00CE4DBE" w:rsidRPr="00CE4DBE" w:rsidTr="00556C7D">
        <w:trPr>
          <w:trHeight w:val="64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Позиция в рейтинге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 w:rsidP="00711E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E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DBE">
              <w:rPr>
                <w:rFonts w:ascii="Times New Roman" w:hAnsi="Times New Roman"/>
                <w:sz w:val="24"/>
                <w:szCs w:val="24"/>
              </w:rPr>
              <w:br/>
            </w:r>
            <w:r w:rsidR="00711E9E">
              <w:rPr>
                <w:rFonts w:ascii="Times New Roman" w:hAnsi="Times New Roman"/>
                <w:sz w:val="24"/>
                <w:szCs w:val="24"/>
              </w:rPr>
              <w:t>(</w:t>
            </w:r>
            <w:r w:rsidRPr="00CE4DBE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711E9E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 w:rsidP="00711E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E4D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4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E9E">
              <w:rPr>
                <w:rFonts w:ascii="Times New Roman" w:hAnsi="Times New Roman"/>
                <w:sz w:val="24"/>
                <w:szCs w:val="24"/>
              </w:rPr>
              <w:t>(</w:t>
            </w:r>
            <w:r w:rsidRPr="00CE4DBE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711E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 w:rsidP="00556C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E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</w:t>
            </w:r>
            <w:r w:rsidR="00556C7D">
              <w:rPr>
                <w:rFonts w:ascii="Times New Roman" w:hAnsi="Times New Roman"/>
                <w:sz w:val="24"/>
                <w:szCs w:val="24"/>
              </w:rPr>
              <w:t>(</w:t>
            </w:r>
            <w:r w:rsidRPr="00CE4DBE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556C7D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CE4DBE" w:rsidRPr="00CE4DBE" w:rsidTr="00556C7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rPr>
                <w:rFonts w:ascii="Times New Roman" w:hAnsi="Times New Roman"/>
                <w:sz w:val="24"/>
                <w:szCs w:val="24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Реконструкция водоочистных сооружений, расположенных на ул. Пушкинская и ул. Щуркина города Беломорска Республики Карелия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298 970,1</w:t>
            </w:r>
          </w:p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2,03</w:t>
            </w:r>
          </w:p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147 464,2</w:t>
            </w:r>
          </w:p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DBE" w:rsidRPr="00CE4DBE" w:rsidTr="00556C7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водопроводных очистных сооружений в </w:t>
            </w:r>
            <w:proofErr w:type="gramStart"/>
            <w:r w:rsidRPr="00CE4D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E4DBE">
              <w:rPr>
                <w:rFonts w:ascii="Times New Roman" w:hAnsi="Times New Roman"/>
                <w:sz w:val="24"/>
                <w:szCs w:val="24"/>
              </w:rPr>
              <w:t>. Кеми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289 203,8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119 754,3</w:t>
            </w:r>
          </w:p>
        </w:tc>
      </w:tr>
      <w:tr w:rsidR="00CE4DBE" w:rsidRPr="00CE4DBE" w:rsidTr="00556C7D">
        <w:trPr>
          <w:trHeight w:val="68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 xml:space="preserve">Строительство водозабора, водопроводных очистных сооружений и водопроводных сетей, </w:t>
            </w:r>
            <w:proofErr w:type="gramStart"/>
            <w:r w:rsidRPr="00CE4D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E4DBE">
              <w:rPr>
                <w:rFonts w:ascii="Times New Roman" w:hAnsi="Times New Roman"/>
                <w:sz w:val="24"/>
                <w:szCs w:val="24"/>
              </w:rPr>
              <w:t>. Суоярви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198 000,0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100 440,9</w:t>
            </w:r>
          </w:p>
        </w:tc>
      </w:tr>
      <w:tr w:rsidR="00CE4DBE" w:rsidRPr="00CE4DBE" w:rsidTr="00556C7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 xml:space="preserve">Реконструкция водоочистных сооружений в </w:t>
            </w:r>
            <w:proofErr w:type="spellStart"/>
            <w:r w:rsidRPr="00CE4DB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E4DBE">
              <w:rPr>
                <w:rFonts w:ascii="Times New Roman" w:hAnsi="Times New Roman"/>
                <w:sz w:val="24"/>
                <w:szCs w:val="24"/>
              </w:rPr>
              <w:t> Калевала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50 600,0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100 416,9</w:t>
            </w:r>
          </w:p>
        </w:tc>
      </w:tr>
      <w:tr w:rsidR="00CE4DBE" w:rsidRPr="00CE4DBE" w:rsidTr="00556C7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 xml:space="preserve">Реконструкция (модернизация) действующей системы водоснабжения и водоотведения п. Матросы </w:t>
            </w:r>
            <w:proofErr w:type="spellStart"/>
            <w:r w:rsidRPr="00CE4DBE">
              <w:rPr>
                <w:rFonts w:ascii="Times New Roman" w:hAnsi="Times New Roman"/>
                <w:sz w:val="24"/>
                <w:szCs w:val="24"/>
              </w:rPr>
              <w:t>Пряжинского</w:t>
            </w:r>
            <w:proofErr w:type="spellEnd"/>
            <w:r w:rsidRPr="00CE4DB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25 740,0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94 146,1</w:t>
            </w:r>
          </w:p>
        </w:tc>
      </w:tr>
      <w:tr w:rsidR="00CE4DBE" w:rsidRPr="00CE4DBE" w:rsidTr="00556C7D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 w:rsidP="00556C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Водопроводная очистная станция</w:t>
            </w:r>
            <w:r w:rsidR="00502E06">
              <w:rPr>
                <w:rFonts w:ascii="Times New Roman" w:hAnsi="Times New Roman"/>
                <w:sz w:val="24"/>
                <w:szCs w:val="24"/>
              </w:rPr>
              <w:t>,</w:t>
            </w:r>
            <w:r w:rsidRPr="00CE4DBE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8500 м</w:t>
            </w:r>
            <w:r w:rsidRPr="00CE4DB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E4D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4DBE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CE4DBE">
              <w:rPr>
                <w:rFonts w:ascii="Times New Roman" w:hAnsi="Times New Roman"/>
                <w:sz w:val="24"/>
                <w:szCs w:val="24"/>
              </w:rPr>
              <w:t xml:space="preserve">., по адресу: </w:t>
            </w:r>
            <w:proofErr w:type="gramStart"/>
            <w:r w:rsidRPr="00CE4D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E4DBE">
              <w:rPr>
                <w:rFonts w:ascii="Times New Roman" w:hAnsi="Times New Roman"/>
                <w:sz w:val="24"/>
                <w:szCs w:val="24"/>
              </w:rPr>
              <w:t>. Сортавала, пер. Фабричный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143 756,1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76 877,4</w:t>
            </w:r>
          </w:p>
        </w:tc>
      </w:tr>
      <w:tr w:rsidR="00CE4DBE" w:rsidRPr="00CE4DBE" w:rsidTr="00C4389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водопроводных очистных сооружений, </w:t>
            </w:r>
            <w:proofErr w:type="gramStart"/>
            <w:r w:rsidRPr="00CE4D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E4DBE">
              <w:rPr>
                <w:rFonts w:ascii="Times New Roman" w:hAnsi="Times New Roman"/>
                <w:sz w:val="24"/>
                <w:szCs w:val="24"/>
              </w:rPr>
              <w:t>. Сегежа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227 425,4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6,76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33 635,3</w:t>
            </w:r>
          </w:p>
        </w:tc>
      </w:tr>
      <w:tr w:rsidR="00CE4DBE" w:rsidRPr="00CE4DBE" w:rsidTr="00C4389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 xml:space="preserve">Строительство  водопроводных  очистных  сооружений,  </w:t>
            </w:r>
            <w:proofErr w:type="gramStart"/>
            <w:r w:rsidRPr="00CE4D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E4DBE">
              <w:rPr>
                <w:rFonts w:ascii="Times New Roman" w:hAnsi="Times New Roman"/>
                <w:sz w:val="24"/>
                <w:szCs w:val="24"/>
              </w:rPr>
              <w:t>. Пудож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67 122,1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18 904,9</w:t>
            </w:r>
          </w:p>
        </w:tc>
      </w:tr>
      <w:tr w:rsidR="00CE4DBE" w:rsidRPr="00CE4DBE" w:rsidTr="00C43890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1 300 817,5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694 640,0</w:t>
            </w:r>
          </w:p>
        </w:tc>
      </w:tr>
    </w:tbl>
    <w:p w:rsidR="00556C7D" w:rsidRDefault="00556C7D" w:rsidP="00CE4DBE">
      <w:pPr>
        <w:tabs>
          <w:tab w:val="left" w:pos="2057"/>
          <w:tab w:val="center" w:pos="5103"/>
        </w:tabs>
        <w:jc w:val="both"/>
        <w:rPr>
          <w:szCs w:val="28"/>
        </w:rPr>
      </w:pPr>
    </w:p>
    <w:p w:rsidR="0019177D" w:rsidRDefault="00FD2068" w:rsidP="0019177D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="00CE4DBE">
        <w:rPr>
          <w:b/>
          <w:szCs w:val="28"/>
        </w:rPr>
        <w:t xml:space="preserve">. Цели, задачи, ожидаемые общие конечные результаты </w:t>
      </w:r>
    </w:p>
    <w:p w:rsidR="00CE4DBE" w:rsidRDefault="00CE4DBE" w:rsidP="0019177D">
      <w:pPr>
        <w:jc w:val="center"/>
        <w:rPr>
          <w:b/>
          <w:szCs w:val="28"/>
        </w:rPr>
      </w:pPr>
      <w:r>
        <w:rPr>
          <w:b/>
          <w:szCs w:val="28"/>
        </w:rPr>
        <w:t>реализации Программы</w:t>
      </w:r>
    </w:p>
    <w:p w:rsidR="00CE4DBE" w:rsidRDefault="00CE4DBE" w:rsidP="00CE4DBE">
      <w:pPr>
        <w:ind w:firstLine="709"/>
        <w:jc w:val="center"/>
        <w:rPr>
          <w:szCs w:val="28"/>
        </w:rPr>
      </w:pP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Цели Программы: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обеспечение к 2024 году достижения значения показателя «доля населения Республики Карелия, обеспеченного качественной питьевой водой из систем централизованного водоснабжения, в общей численности населения Республики Карелия» 84,8%;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обеспечение к 2024 году достижения значения показателя «доля городского населения Республики Карелия, обеспеченного качественной питьевой водой из систем централизованного водоснабжения, в общей численности населения Республики Карелия» 74,4%.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Задача Программы: повышение качества питьевой воды посредством строительства, реконструкции (модернизации) систем водоснабжения  с использованием перспективных технологий, включая технологии, разработанные организациями оборонно-промышленного комплекса.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Ожидаемые конечные результаты реализации Программы и    </w:t>
      </w:r>
      <w:r>
        <w:rPr>
          <w:szCs w:val="28"/>
        </w:rPr>
        <w:br/>
        <w:t>показатели эффективности представлены в таблице 2.</w:t>
      </w:r>
    </w:p>
    <w:p w:rsidR="00CE4DBE" w:rsidRDefault="00CE4DBE" w:rsidP="00CE4DBE">
      <w:pPr>
        <w:ind w:firstLine="709"/>
        <w:jc w:val="right"/>
        <w:rPr>
          <w:szCs w:val="28"/>
        </w:rPr>
      </w:pPr>
      <w:r>
        <w:rPr>
          <w:szCs w:val="28"/>
        </w:rPr>
        <w:t>Таблица 2</w:t>
      </w:r>
    </w:p>
    <w:p w:rsidR="00CE4DBE" w:rsidRDefault="00CE4DBE" w:rsidP="00CE4DBE">
      <w:pPr>
        <w:jc w:val="center"/>
        <w:rPr>
          <w:szCs w:val="28"/>
        </w:rPr>
      </w:pPr>
      <w:r>
        <w:rPr>
          <w:szCs w:val="28"/>
        </w:rPr>
        <w:t xml:space="preserve">Ожидаемые конечные результаты реализации </w:t>
      </w:r>
      <w:r>
        <w:rPr>
          <w:szCs w:val="28"/>
        </w:rPr>
        <w:br/>
        <w:t>Программы и показатели эффективности</w:t>
      </w:r>
    </w:p>
    <w:p w:rsidR="00CE4DBE" w:rsidRDefault="00CE4DBE" w:rsidP="00CE4DBE">
      <w:pPr>
        <w:ind w:firstLine="709"/>
        <w:jc w:val="right"/>
        <w:rPr>
          <w:szCs w:val="28"/>
        </w:rPr>
      </w:pPr>
      <w:r>
        <w:rPr>
          <w:szCs w:val="28"/>
        </w:rPr>
        <w:t xml:space="preserve">(процентов) </w:t>
      </w:r>
    </w:p>
    <w:tbl>
      <w:tblPr>
        <w:tblStyle w:val="afc"/>
        <w:tblW w:w="10200" w:type="dxa"/>
        <w:tblInd w:w="-459" w:type="dxa"/>
        <w:tblLayout w:type="fixed"/>
        <w:tblLook w:val="04A0"/>
      </w:tblPr>
      <w:tblGrid>
        <w:gridCol w:w="565"/>
        <w:gridCol w:w="2975"/>
        <w:gridCol w:w="1699"/>
        <w:gridCol w:w="851"/>
        <w:gridCol w:w="850"/>
        <w:gridCol w:w="851"/>
        <w:gridCol w:w="850"/>
        <w:gridCol w:w="851"/>
        <w:gridCol w:w="708"/>
      </w:tblGrid>
      <w:tr w:rsidR="00CE4DBE" w:rsidRPr="00CE4DBE" w:rsidTr="00CE4DBE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D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D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4D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показателя </w:t>
            </w:r>
            <w:r w:rsidRPr="00CE4DBE">
              <w:rPr>
                <w:rFonts w:ascii="Times New Roman" w:hAnsi="Times New Roman"/>
                <w:sz w:val="24"/>
                <w:szCs w:val="24"/>
              </w:rPr>
              <w:br/>
              <w:t>на 31.12.2017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556C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E4DBE" w:rsidRPr="00CE4DBE" w:rsidTr="00CE4DBE">
        <w:trPr>
          <w:trHeight w:val="6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BE" w:rsidRPr="00CE4DBE" w:rsidRDefault="00CE4D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BE" w:rsidRPr="00CE4DBE" w:rsidRDefault="00CE4D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BE" w:rsidRPr="00CE4DBE" w:rsidRDefault="00CE4D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E4DBE" w:rsidRPr="00CE4DBE" w:rsidTr="00CE4D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BE" w:rsidRPr="00CE4DBE" w:rsidRDefault="00CE4DBE" w:rsidP="0019177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proofErr w:type="spellStart"/>
            <w:proofErr w:type="gramStart"/>
            <w:r w:rsidRPr="00CE4DBE">
              <w:rPr>
                <w:rFonts w:ascii="Times New Roman" w:hAnsi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CE4DBE">
              <w:rPr>
                <w:rFonts w:ascii="Times New Roman" w:hAnsi="Times New Roman"/>
                <w:sz w:val="24"/>
                <w:szCs w:val="24"/>
              </w:rPr>
              <w:t xml:space="preserve"> Карелия, </w:t>
            </w:r>
            <w:proofErr w:type="spellStart"/>
            <w:r w:rsidRPr="00CE4DBE">
              <w:rPr>
                <w:rFonts w:ascii="Times New Roman" w:hAnsi="Times New Roman"/>
                <w:sz w:val="24"/>
                <w:szCs w:val="24"/>
              </w:rPr>
              <w:t>обеспечен-ного</w:t>
            </w:r>
            <w:proofErr w:type="spellEnd"/>
            <w:r w:rsidRPr="00CE4DBE">
              <w:rPr>
                <w:rFonts w:ascii="Times New Roman" w:hAnsi="Times New Roman"/>
                <w:sz w:val="24"/>
                <w:szCs w:val="24"/>
              </w:rPr>
              <w:t xml:space="preserve"> качественной питьевой водой из систем централизованного водоснабжения, в общей численности населения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CE4DBE" w:rsidRPr="00CE4DBE" w:rsidTr="00CE4D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BE" w:rsidRPr="00CE4DBE" w:rsidRDefault="00CE4DBE" w:rsidP="0019177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 xml:space="preserve">Доля городского </w:t>
            </w:r>
            <w:proofErr w:type="spellStart"/>
            <w:proofErr w:type="gramStart"/>
            <w:r w:rsidRPr="00CE4DBE">
              <w:rPr>
                <w:rFonts w:ascii="Times New Roman" w:hAnsi="Times New Roman"/>
                <w:sz w:val="24"/>
                <w:szCs w:val="24"/>
              </w:rPr>
              <w:t>населе-ния</w:t>
            </w:r>
            <w:proofErr w:type="spellEnd"/>
            <w:proofErr w:type="gramEnd"/>
            <w:r w:rsidRPr="00CE4DBE">
              <w:rPr>
                <w:rFonts w:ascii="Times New Roman" w:hAnsi="Times New Roman"/>
                <w:sz w:val="24"/>
                <w:szCs w:val="24"/>
              </w:rPr>
              <w:t xml:space="preserve"> Республики Карелия, обеспеченного </w:t>
            </w:r>
            <w:proofErr w:type="spellStart"/>
            <w:r w:rsidRPr="00CE4DBE">
              <w:rPr>
                <w:rFonts w:ascii="Times New Roman" w:hAnsi="Times New Roman"/>
                <w:sz w:val="24"/>
                <w:szCs w:val="24"/>
              </w:rPr>
              <w:t>качествен-ной</w:t>
            </w:r>
            <w:proofErr w:type="spellEnd"/>
            <w:r w:rsidRPr="00CE4DBE">
              <w:rPr>
                <w:rFonts w:ascii="Times New Roman" w:hAnsi="Times New Roman"/>
                <w:sz w:val="24"/>
                <w:szCs w:val="24"/>
              </w:rPr>
              <w:t xml:space="preserve"> питьевой водой из систем централизованного водоснабжения, в общей численности населения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BE" w:rsidRPr="00CE4DBE" w:rsidRDefault="00CE4D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DBE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</w:tbl>
    <w:p w:rsidR="00CE4DBE" w:rsidRDefault="00CE4DBE" w:rsidP="00CE4DBE">
      <w:pPr>
        <w:pStyle w:val="ad"/>
        <w:tabs>
          <w:tab w:val="left" w:pos="2057"/>
          <w:tab w:val="center" w:pos="5103"/>
        </w:tabs>
        <w:ind w:left="0" w:firstLine="709"/>
        <w:jc w:val="both"/>
        <w:rPr>
          <w:szCs w:val="28"/>
        </w:rPr>
      </w:pPr>
    </w:p>
    <w:p w:rsidR="00CE4DBE" w:rsidRDefault="00CE4DBE" w:rsidP="00CE4DBE">
      <w:pPr>
        <w:pStyle w:val="ad"/>
        <w:tabs>
          <w:tab w:val="left" w:pos="2057"/>
          <w:tab w:val="center" w:pos="5103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В результате проведения мероприятий Программы планируется достичь прироста численности населения Республики Карелия, обеспеченного качественной питьевой водой из систем централизованного водоснабжения, после ввода объектов в эксплуатацию в количестве 61 003 человек; прирост доли населения, обеспеченного качественной питьевой водой из систем централизованного водоснабжения, после ввода объекта в эксплуатацию в общей численности населения Республики Карелия составит 9,8%.</w:t>
      </w:r>
      <w:proofErr w:type="gramEnd"/>
    </w:p>
    <w:p w:rsidR="00CE4DBE" w:rsidRDefault="00CE4DBE" w:rsidP="00CE4DBE">
      <w:pPr>
        <w:pStyle w:val="ad"/>
        <w:tabs>
          <w:tab w:val="left" w:pos="2057"/>
          <w:tab w:val="center" w:pos="510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Динамика достижения целевых показателей </w:t>
      </w:r>
      <w:r w:rsidR="0019177D">
        <w:rPr>
          <w:szCs w:val="28"/>
        </w:rPr>
        <w:t>при реализации П</w:t>
      </w:r>
      <w:r>
        <w:rPr>
          <w:szCs w:val="28"/>
        </w:rPr>
        <w:t>рограммы приведена в приложении 3</w:t>
      </w:r>
      <w:r w:rsidR="0019177D">
        <w:rPr>
          <w:szCs w:val="28"/>
        </w:rPr>
        <w:t xml:space="preserve"> к Программе.</w:t>
      </w: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>Этапы реализации мероприятий Программы представлены в приложении 4 к Программе.</w:t>
      </w:r>
    </w:p>
    <w:p w:rsidR="00CE4DBE" w:rsidRDefault="00CE4DBE" w:rsidP="00CE4DBE">
      <w:pPr>
        <w:tabs>
          <w:tab w:val="left" w:pos="2057"/>
          <w:tab w:val="center" w:pos="5103"/>
        </w:tabs>
        <w:jc w:val="center"/>
        <w:rPr>
          <w:b/>
          <w:szCs w:val="28"/>
        </w:rPr>
      </w:pPr>
    </w:p>
    <w:p w:rsidR="00CE4DBE" w:rsidRDefault="00FD2068" w:rsidP="00CE4DBE">
      <w:pPr>
        <w:tabs>
          <w:tab w:val="left" w:pos="2057"/>
          <w:tab w:val="center" w:pos="5103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="00CE4DBE">
        <w:rPr>
          <w:b/>
          <w:szCs w:val="28"/>
          <w:lang w:val="en-US"/>
        </w:rPr>
        <w:t>I</w:t>
      </w:r>
      <w:r w:rsidR="00CE4DBE">
        <w:rPr>
          <w:b/>
          <w:szCs w:val="28"/>
        </w:rPr>
        <w:t>. Переход к использованию перспективных технологий</w:t>
      </w:r>
    </w:p>
    <w:p w:rsidR="00CE4DBE" w:rsidRDefault="00CE4DBE" w:rsidP="00CE4DBE">
      <w:pPr>
        <w:tabs>
          <w:tab w:val="left" w:pos="2057"/>
          <w:tab w:val="center" w:pos="5103"/>
        </w:tabs>
        <w:jc w:val="center"/>
        <w:rPr>
          <w:b/>
          <w:szCs w:val="28"/>
        </w:rPr>
      </w:pPr>
    </w:p>
    <w:p w:rsidR="00CE4DBE" w:rsidRDefault="00CE4DBE" w:rsidP="00CE4DBE">
      <w:pPr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 строительству (реконструкции) объектов водоснабжения, на реализацию которых предоставляется субсидия из федерального бюджета, должны быть реализованы с применением перспективных технологий водоподготовки, включенных в справочник перспективных технологий водоподготовки и очистки воды с использованием </w:t>
      </w:r>
      <w:r>
        <w:rPr>
          <w:szCs w:val="28"/>
        </w:rPr>
        <w:lastRenderedPageBreak/>
        <w:t xml:space="preserve">технологий, разработанных организациями оборонно-промышленного комплекса и с учетом </w:t>
      </w:r>
      <w:r w:rsidR="0019177D">
        <w:rPr>
          <w:szCs w:val="28"/>
        </w:rPr>
        <w:t xml:space="preserve">оценки </w:t>
      </w:r>
      <w:r>
        <w:rPr>
          <w:szCs w:val="28"/>
        </w:rPr>
        <w:t>риска здоровью населения.</w:t>
      </w:r>
    </w:p>
    <w:p w:rsidR="00CE4DBE" w:rsidRDefault="0019177D" w:rsidP="00CE4DBE">
      <w:pPr>
        <w:ind w:firstLine="709"/>
        <w:jc w:val="both"/>
        <w:rPr>
          <w:szCs w:val="28"/>
        </w:rPr>
      </w:pPr>
      <w:r>
        <w:rPr>
          <w:szCs w:val="28"/>
        </w:rPr>
        <w:t>Прогноз</w:t>
      </w:r>
      <w:r w:rsidR="00CE4DBE">
        <w:rPr>
          <w:szCs w:val="28"/>
        </w:rPr>
        <w:t xml:space="preserve"> тарифных последствий реализации мероприятий </w:t>
      </w:r>
      <w:r>
        <w:rPr>
          <w:szCs w:val="28"/>
        </w:rPr>
        <w:t>Программы</w:t>
      </w:r>
      <w:r w:rsidR="00CE4DBE">
        <w:rPr>
          <w:szCs w:val="28"/>
        </w:rPr>
        <w:t xml:space="preserve"> приведен в приложении 5 к Программе.</w:t>
      </w:r>
    </w:p>
    <w:p w:rsidR="00CE4DBE" w:rsidRDefault="00CE4DBE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</w:p>
    <w:sectPr w:rsidR="00CE4DBE" w:rsidSect="00711E9E">
      <w:headerReference w:type="default" r:id="rId9"/>
      <w:pgSz w:w="11906" w:h="16838"/>
      <w:pgMar w:top="1134" w:right="851" w:bottom="1134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06" w:rsidRDefault="00502E06" w:rsidP="00CE0D98">
      <w:r>
        <w:separator/>
      </w:r>
    </w:p>
  </w:endnote>
  <w:endnote w:type="continuationSeparator" w:id="0">
    <w:p w:rsidR="00502E06" w:rsidRDefault="00502E0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06" w:rsidRDefault="00502E06" w:rsidP="00CE0D98">
      <w:r>
        <w:separator/>
      </w:r>
    </w:p>
  </w:footnote>
  <w:footnote w:type="continuationSeparator" w:id="0">
    <w:p w:rsidR="00502E06" w:rsidRDefault="00502E0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02E06" w:rsidRPr="00937C11" w:rsidRDefault="009C29C1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502E06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FD2068">
          <w:rPr>
            <w:noProof/>
            <w:sz w:val="24"/>
            <w:szCs w:val="24"/>
          </w:rPr>
          <w:t>8</w:t>
        </w:r>
        <w:r w:rsidRPr="00937C11">
          <w:rPr>
            <w:sz w:val="24"/>
            <w:szCs w:val="24"/>
          </w:rPr>
          <w:fldChar w:fldCharType="end"/>
        </w:r>
      </w:p>
    </w:sdtContent>
  </w:sdt>
  <w:p w:rsidR="00502E06" w:rsidRDefault="00502E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45609F"/>
    <w:multiLevelType w:val="hybridMultilevel"/>
    <w:tmpl w:val="CDAE01B8"/>
    <w:lvl w:ilvl="0" w:tplc="573ACB5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6"/>
  </w:num>
  <w:num w:numId="4">
    <w:abstractNumId w:val="16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5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46F25"/>
    <w:rsid w:val="00057282"/>
    <w:rsid w:val="00065830"/>
    <w:rsid w:val="00067D81"/>
    <w:rsid w:val="0007217A"/>
    <w:rsid w:val="000729CC"/>
    <w:rsid w:val="00093735"/>
    <w:rsid w:val="000954F8"/>
    <w:rsid w:val="000A172F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5537"/>
    <w:rsid w:val="00117BA5"/>
    <w:rsid w:val="0013077C"/>
    <w:rsid w:val="001348C3"/>
    <w:rsid w:val="001605B0"/>
    <w:rsid w:val="00161AC3"/>
    <w:rsid w:val="00162BA3"/>
    <w:rsid w:val="00173EFE"/>
    <w:rsid w:val="0019177D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1521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5737B"/>
    <w:rsid w:val="00361E4D"/>
    <w:rsid w:val="00364944"/>
    <w:rsid w:val="00376E38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1A1E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02E06"/>
    <w:rsid w:val="005228D9"/>
    <w:rsid w:val="00531EDE"/>
    <w:rsid w:val="00533557"/>
    <w:rsid w:val="00536134"/>
    <w:rsid w:val="00541166"/>
    <w:rsid w:val="005424ED"/>
    <w:rsid w:val="00556C7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280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11E9E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C29C1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43890"/>
    <w:rsid w:val="00C53469"/>
    <w:rsid w:val="00C92BA5"/>
    <w:rsid w:val="00C95FDB"/>
    <w:rsid w:val="00C97F75"/>
    <w:rsid w:val="00CA3156"/>
    <w:rsid w:val="00CA3FC0"/>
    <w:rsid w:val="00CB3FDE"/>
    <w:rsid w:val="00CB587E"/>
    <w:rsid w:val="00CC0C47"/>
    <w:rsid w:val="00CC1D45"/>
    <w:rsid w:val="00CC49BC"/>
    <w:rsid w:val="00CC60D0"/>
    <w:rsid w:val="00CE0D98"/>
    <w:rsid w:val="00CE4DBE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756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291D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5362"/>
    <w:rsid w:val="00FD03CE"/>
    <w:rsid w:val="00FD2068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0E0EA4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character" w:customStyle="1" w:styleId="23">
    <w:name w:val="Основной текст (2)"/>
    <w:basedOn w:val="a0"/>
    <w:rsid w:val="00CE4D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CE4D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9681-6DF6-471C-AA0D-0C9826D9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1729</Words>
  <Characters>13357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12</cp:revision>
  <cp:lastPrinted>2019-10-14T09:18:00Z</cp:lastPrinted>
  <dcterms:created xsi:type="dcterms:W3CDTF">2019-10-09T14:00:00Z</dcterms:created>
  <dcterms:modified xsi:type="dcterms:W3CDTF">2019-10-14T09:19:00Z</dcterms:modified>
</cp:coreProperties>
</file>