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9C4" w:rsidRPr="003D19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5E6E">
      <w:pPr>
        <w:spacing w:before="240"/>
        <w:ind w:left="-142"/>
        <w:jc w:val="center"/>
      </w:pPr>
      <w:r>
        <w:t xml:space="preserve">от </w:t>
      </w:r>
      <w:r w:rsidR="003D5E6E">
        <w:t>14 октября 2013 года № 311-П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354B8" w:rsidRDefault="00D354B8" w:rsidP="00D354B8">
      <w:pPr>
        <w:autoSpaceDE w:val="0"/>
        <w:autoSpaceDN w:val="0"/>
        <w:adjustRightInd w:val="0"/>
        <w:jc w:val="center"/>
        <w:rPr>
          <w:b/>
          <w:snapToGrid w:val="0"/>
          <w:szCs w:val="28"/>
        </w:rPr>
      </w:pPr>
      <w:r w:rsidRPr="00D354B8">
        <w:rPr>
          <w:b/>
          <w:szCs w:val="28"/>
        </w:rPr>
        <w:t xml:space="preserve">Об утверждении </w:t>
      </w:r>
      <w:r w:rsidRPr="00D354B8">
        <w:rPr>
          <w:b/>
          <w:snapToGrid w:val="0"/>
          <w:szCs w:val="28"/>
        </w:rPr>
        <w:t xml:space="preserve">Порядка и условий заключения </w:t>
      </w:r>
    </w:p>
    <w:p w:rsidR="00D354B8" w:rsidRDefault="00D354B8" w:rsidP="00D354B8">
      <w:pPr>
        <w:autoSpaceDE w:val="0"/>
        <w:autoSpaceDN w:val="0"/>
        <w:adjustRightInd w:val="0"/>
        <w:jc w:val="center"/>
        <w:rPr>
          <w:b/>
          <w:snapToGrid w:val="0"/>
          <w:szCs w:val="28"/>
        </w:rPr>
      </w:pPr>
      <w:r w:rsidRPr="00D354B8">
        <w:rPr>
          <w:b/>
          <w:snapToGrid w:val="0"/>
          <w:szCs w:val="28"/>
        </w:rPr>
        <w:t xml:space="preserve">инвестиционных соглашений по предоставлению </w:t>
      </w:r>
    </w:p>
    <w:p w:rsidR="00D354B8" w:rsidRPr="00D354B8" w:rsidRDefault="00D354B8" w:rsidP="00D354B8">
      <w:pPr>
        <w:autoSpaceDE w:val="0"/>
        <w:autoSpaceDN w:val="0"/>
        <w:adjustRightInd w:val="0"/>
        <w:jc w:val="center"/>
        <w:rPr>
          <w:b/>
          <w:snapToGrid w:val="0"/>
          <w:szCs w:val="28"/>
        </w:rPr>
      </w:pPr>
      <w:r w:rsidRPr="00D354B8">
        <w:rPr>
          <w:b/>
          <w:snapToGrid w:val="0"/>
          <w:szCs w:val="28"/>
        </w:rPr>
        <w:t>инвесторам налоговых льгот</w:t>
      </w:r>
    </w:p>
    <w:p w:rsidR="00D354B8" w:rsidRPr="00480F6A" w:rsidRDefault="00D354B8" w:rsidP="00D354B8">
      <w:pPr>
        <w:autoSpaceDE w:val="0"/>
        <w:autoSpaceDN w:val="0"/>
        <w:adjustRightInd w:val="0"/>
        <w:jc w:val="center"/>
        <w:rPr>
          <w:szCs w:val="28"/>
        </w:rPr>
      </w:pPr>
      <w:r w:rsidRPr="00480F6A">
        <w:rPr>
          <w:snapToGrid w:val="0"/>
          <w:szCs w:val="28"/>
        </w:rPr>
        <w:t xml:space="preserve"> </w:t>
      </w:r>
    </w:p>
    <w:p w:rsidR="00D354B8" w:rsidRPr="00480F6A" w:rsidRDefault="00D354B8" w:rsidP="00D354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0F6A">
        <w:rPr>
          <w:szCs w:val="28"/>
        </w:rPr>
        <w:t xml:space="preserve"> В соответствии с пунктом 10 </w:t>
      </w:r>
      <w:r>
        <w:rPr>
          <w:szCs w:val="28"/>
        </w:rPr>
        <w:t xml:space="preserve">части 2 </w:t>
      </w:r>
      <w:r w:rsidRPr="00480F6A">
        <w:rPr>
          <w:szCs w:val="28"/>
        </w:rPr>
        <w:t>статьи 3 Закона Республики Карелия от 5 марта 2013 года № 1687-ЗРК «О государственной поддержке инвестиционной деятельности в Республике Карелия»</w:t>
      </w:r>
      <w:r w:rsidRPr="00480F6A">
        <w:rPr>
          <w:snapToGrid w:val="0"/>
          <w:szCs w:val="28"/>
        </w:rPr>
        <w:t>, Законом Республики Карелия от 30 декабря 1999 года № 384-ЗРК «О налогах (ставках налогов) на территории Республики Карелия»</w:t>
      </w:r>
      <w:r w:rsidRPr="00480F6A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D354B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354B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354B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354B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354B8">
        <w:rPr>
          <w:b/>
          <w:szCs w:val="28"/>
        </w:rPr>
        <w:t>т:</w:t>
      </w:r>
      <w:r w:rsidRPr="00480F6A">
        <w:rPr>
          <w:szCs w:val="28"/>
        </w:rPr>
        <w:t xml:space="preserve"> </w:t>
      </w:r>
    </w:p>
    <w:p w:rsidR="00D354B8" w:rsidRPr="00480F6A" w:rsidRDefault="00D354B8" w:rsidP="00D354B8">
      <w:pPr>
        <w:autoSpaceDE w:val="0"/>
        <w:autoSpaceDN w:val="0"/>
        <w:adjustRightInd w:val="0"/>
        <w:ind w:firstLine="709"/>
        <w:contextualSpacing/>
        <w:jc w:val="both"/>
        <w:rPr>
          <w:snapToGrid w:val="0"/>
          <w:szCs w:val="28"/>
        </w:rPr>
      </w:pPr>
      <w:r w:rsidRPr="00480F6A">
        <w:rPr>
          <w:szCs w:val="28"/>
        </w:rPr>
        <w:t xml:space="preserve">1.Утвердить </w:t>
      </w:r>
      <w:r w:rsidRPr="00480F6A">
        <w:rPr>
          <w:snapToGrid w:val="0"/>
          <w:szCs w:val="28"/>
        </w:rPr>
        <w:t>Порядок и условия заключения инвестиционных соглашений по предоставлению инвесторам налоговых льгот.</w:t>
      </w:r>
    </w:p>
    <w:p w:rsidR="00D354B8" w:rsidRPr="00480F6A" w:rsidRDefault="00D354B8" w:rsidP="00D354B8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480F6A">
        <w:rPr>
          <w:snapToGrid w:val="0"/>
          <w:szCs w:val="28"/>
        </w:rPr>
        <w:t>2. Признать утратившими силу постановления Правительства Республики Карелия:</w:t>
      </w:r>
    </w:p>
    <w:p w:rsidR="00D354B8" w:rsidRPr="00480F6A" w:rsidRDefault="00D354B8" w:rsidP="00D35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0F6A">
        <w:rPr>
          <w:szCs w:val="28"/>
        </w:rPr>
        <w:t>от 23 ноября 2004 года № 117-П «</w:t>
      </w:r>
      <w:r w:rsidRPr="00480F6A">
        <w:rPr>
          <w:snapToGrid w:val="0"/>
          <w:szCs w:val="28"/>
        </w:rPr>
        <w:t>О порядке заключения инвестиционного соглашения о предоставлении налоговых льгот в рамках режима инвестиционного благоприятствования</w:t>
      </w:r>
      <w:r w:rsidRPr="00480F6A">
        <w:rPr>
          <w:szCs w:val="28"/>
        </w:rPr>
        <w:t>» (Собрание законодательства Республики Карелия, 2004, № 11, ст. 1342);</w:t>
      </w:r>
    </w:p>
    <w:p w:rsidR="00D354B8" w:rsidRPr="00480F6A" w:rsidRDefault="00D354B8" w:rsidP="00D35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0F6A">
        <w:rPr>
          <w:szCs w:val="28"/>
        </w:rPr>
        <w:t>от 16 июля 2009 года № 171-П «О внесении изменений в постановление Правительства Республики Карелия от 23 ноября 2004 года № 117-П» (Собрание законодательства Республики Карелия, 2009,</w:t>
      </w:r>
      <w:r w:rsidR="007E42CB">
        <w:rPr>
          <w:szCs w:val="28"/>
        </w:rPr>
        <w:t xml:space="preserve">              </w:t>
      </w:r>
      <w:r w:rsidRPr="00480F6A">
        <w:rPr>
          <w:szCs w:val="28"/>
        </w:rPr>
        <w:t xml:space="preserve"> №</w:t>
      </w:r>
      <w:r w:rsidR="007E42CB">
        <w:rPr>
          <w:szCs w:val="28"/>
        </w:rPr>
        <w:t xml:space="preserve"> </w:t>
      </w:r>
      <w:r w:rsidRPr="00480F6A">
        <w:rPr>
          <w:szCs w:val="28"/>
        </w:rPr>
        <w:t>7, ст. 823).</w:t>
      </w:r>
    </w:p>
    <w:p w:rsidR="00D354B8" w:rsidRPr="00480F6A" w:rsidRDefault="00D354B8" w:rsidP="00D354B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E42CB" w:rsidRDefault="008A3180" w:rsidP="00BA52E2">
      <w:pPr>
        <w:ind w:left="-142"/>
        <w:rPr>
          <w:szCs w:val="28"/>
        </w:rPr>
        <w:sectPr w:rsidR="007E42CB" w:rsidSect="005E11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E42CB" w:rsidRDefault="007E42CB" w:rsidP="007E42CB">
      <w:pPr>
        <w:ind w:firstLine="5245"/>
        <w:rPr>
          <w:snapToGrid w:val="0"/>
          <w:szCs w:val="28"/>
        </w:rPr>
      </w:pPr>
      <w:proofErr w:type="gramStart"/>
      <w:r w:rsidRPr="00480F6A">
        <w:rPr>
          <w:snapToGrid w:val="0"/>
          <w:szCs w:val="28"/>
        </w:rPr>
        <w:lastRenderedPageBreak/>
        <w:t>Утвержден</w:t>
      </w:r>
      <w:proofErr w:type="gramEnd"/>
      <w:r>
        <w:rPr>
          <w:snapToGrid w:val="0"/>
          <w:szCs w:val="28"/>
        </w:rPr>
        <w:t xml:space="preserve"> </w:t>
      </w:r>
      <w:r w:rsidRPr="00480F6A">
        <w:rPr>
          <w:snapToGrid w:val="0"/>
          <w:szCs w:val="28"/>
        </w:rPr>
        <w:t xml:space="preserve">постановлением </w:t>
      </w:r>
    </w:p>
    <w:p w:rsidR="007E42CB" w:rsidRPr="00480F6A" w:rsidRDefault="007E42CB" w:rsidP="007E42CB">
      <w:pPr>
        <w:ind w:firstLine="5245"/>
        <w:rPr>
          <w:snapToGrid w:val="0"/>
          <w:szCs w:val="28"/>
        </w:rPr>
      </w:pPr>
      <w:r w:rsidRPr="00480F6A">
        <w:rPr>
          <w:snapToGrid w:val="0"/>
          <w:szCs w:val="28"/>
        </w:rPr>
        <w:t>Правительства</w:t>
      </w:r>
      <w:r>
        <w:rPr>
          <w:snapToGrid w:val="0"/>
          <w:szCs w:val="28"/>
        </w:rPr>
        <w:t xml:space="preserve"> </w:t>
      </w:r>
      <w:r w:rsidRPr="00480F6A">
        <w:rPr>
          <w:snapToGrid w:val="0"/>
          <w:szCs w:val="28"/>
        </w:rPr>
        <w:t>Республики Карелия</w:t>
      </w:r>
    </w:p>
    <w:p w:rsidR="007E42CB" w:rsidRPr="00480F6A" w:rsidRDefault="003D5E6E" w:rsidP="007E42CB">
      <w:pPr>
        <w:ind w:firstLine="5245"/>
        <w:rPr>
          <w:snapToGrid w:val="0"/>
          <w:szCs w:val="28"/>
        </w:rPr>
      </w:pPr>
      <w:r>
        <w:rPr>
          <w:snapToGrid w:val="0"/>
          <w:szCs w:val="28"/>
        </w:rPr>
        <w:t>о</w:t>
      </w:r>
      <w:r w:rsidR="007E42CB" w:rsidRPr="00480F6A">
        <w:rPr>
          <w:snapToGrid w:val="0"/>
          <w:szCs w:val="28"/>
        </w:rPr>
        <w:t>т</w:t>
      </w:r>
      <w:r>
        <w:rPr>
          <w:snapToGrid w:val="0"/>
          <w:szCs w:val="28"/>
        </w:rPr>
        <w:t xml:space="preserve"> </w:t>
      </w:r>
      <w:r>
        <w:t>14 октября 2013 года № 311-П</w:t>
      </w:r>
    </w:p>
    <w:p w:rsidR="007E42CB" w:rsidRPr="00480F6A" w:rsidRDefault="007E42CB" w:rsidP="007E42CB">
      <w:pPr>
        <w:jc w:val="right"/>
        <w:rPr>
          <w:snapToGrid w:val="0"/>
          <w:szCs w:val="28"/>
        </w:rPr>
      </w:pPr>
    </w:p>
    <w:p w:rsidR="005E11F8" w:rsidRDefault="005E11F8" w:rsidP="007E42CB">
      <w:pPr>
        <w:jc w:val="center"/>
        <w:rPr>
          <w:b/>
          <w:snapToGrid w:val="0"/>
          <w:szCs w:val="28"/>
        </w:rPr>
      </w:pPr>
    </w:p>
    <w:p w:rsidR="00D53035" w:rsidRPr="00D53035" w:rsidRDefault="007E42CB" w:rsidP="007E42CB">
      <w:pPr>
        <w:jc w:val="center"/>
        <w:rPr>
          <w:b/>
          <w:snapToGrid w:val="0"/>
          <w:szCs w:val="28"/>
        </w:rPr>
      </w:pPr>
      <w:r w:rsidRPr="00D53035">
        <w:rPr>
          <w:b/>
          <w:snapToGrid w:val="0"/>
          <w:szCs w:val="28"/>
        </w:rPr>
        <w:t xml:space="preserve">Порядок и условия </w:t>
      </w:r>
    </w:p>
    <w:p w:rsidR="00D53035" w:rsidRPr="00D53035" w:rsidRDefault="007E42CB" w:rsidP="007E42CB">
      <w:pPr>
        <w:jc w:val="center"/>
        <w:rPr>
          <w:b/>
          <w:snapToGrid w:val="0"/>
          <w:szCs w:val="28"/>
        </w:rPr>
      </w:pPr>
      <w:r w:rsidRPr="00D53035">
        <w:rPr>
          <w:b/>
          <w:snapToGrid w:val="0"/>
          <w:szCs w:val="28"/>
        </w:rPr>
        <w:t xml:space="preserve">заключения инвестиционных соглашений по предоставлению </w:t>
      </w:r>
    </w:p>
    <w:p w:rsidR="007E42CB" w:rsidRPr="00D53035" w:rsidRDefault="007E42CB" w:rsidP="007E42CB">
      <w:pPr>
        <w:jc w:val="center"/>
        <w:rPr>
          <w:b/>
          <w:snapToGrid w:val="0"/>
          <w:szCs w:val="28"/>
        </w:rPr>
      </w:pPr>
      <w:r w:rsidRPr="00D53035">
        <w:rPr>
          <w:b/>
          <w:snapToGrid w:val="0"/>
          <w:szCs w:val="28"/>
        </w:rPr>
        <w:t xml:space="preserve">инвесторам налоговых льгот  </w:t>
      </w:r>
    </w:p>
    <w:p w:rsidR="007E42CB" w:rsidRPr="00480F6A" w:rsidRDefault="007E42CB" w:rsidP="007E42CB">
      <w:pPr>
        <w:ind w:left="360"/>
        <w:jc w:val="center"/>
        <w:rPr>
          <w:snapToGrid w:val="0"/>
          <w:szCs w:val="28"/>
        </w:rPr>
      </w:pP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napToGrid w:val="0"/>
          <w:szCs w:val="28"/>
        </w:rPr>
        <w:t xml:space="preserve">1. </w:t>
      </w:r>
      <w:r w:rsidRPr="005E4239">
        <w:rPr>
          <w:snapToGrid w:val="0"/>
          <w:szCs w:val="28"/>
        </w:rPr>
        <w:t xml:space="preserve">Настоящий Порядок регламентирует отношения, связанные с заключением </w:t>
      </w:r>
      <w:r w:rsidRPr="005E4239">
        <w:rPr>
          <w:szCs w:val="28"/>
        </w:rPr>
        <w:t xml:space="preserve">инвестиционных соглашений по предоставлению инвесторам </w:t>
      </w:r>
      <w:r w:rsidRPr="005E4239">
        <w:rPr>
          <w:snapToGrid w:val="0"/>
          <w:szCs w:val="28"/>
        </w:rPr>
        <w:t xml:space="preserve">налоговых льгот  по региональным налогам, а также </w:t>
      </w:r>
      <w:r>
        <w:rPr>
          <w:snapToGrid w:val="0"/>
          <w:szCs w:val="28"/>
        </w:rPr>
        <w:t xml:space="preserve">по предоставлению </w:t>
      </w:r>
      <w:r w:rsidRPr="005E4239">
        <w:rPr>
          <w:snapToGrid w:val="0"/>
          <w:szCs w:val="28"/>
        </w:rPr>
        <w:t>преимуществ в виде установления пониженной ставки налога на прибыль организаций в части, зачисляемой в бюджет Республики Карелия</w:t>
      </w:r>
      <w:r w:rsidRPr="005E4239">
        <w:rPr>
          <w:szCs w:val="28"/>
        </w:rPr>
        <w:t xml:space="preserve"> (далее – инвестиционное соглашение). </w:t>
      </w:r>
    </w:p>
    <w:p w:rsidR="007E42CB" w:rsidRPr="00480F6A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2. </w:t>
      </w:r>
      <w:r w:rsidRPr="00480F6A">
        <w:rPr>
          <w:snapToGrid w:val="0"/>
          <w:szCs w:val="28"/>
        </w:rPr>
        <w:t xml:space="preserve">Понятия, используемые в настоящем Порядке, применяются в значениях, установленных в </w:t>
      </w:r>
      <w:r w:rsidRPr="00647E42">
        <w:rPr>
          <w:snapToGrid w:val="0"/>
          <w:szCs w:val="28"/>
        </w:rPr>
        <w:t>Закон</w:t>
      </w:r>
      <w:r>
        <w:rPr>
          <w:snapToGrid w:val="0"/>
          <w:szCs w:val="28"/>
        </w:rPr>
        <w:t>е</w:t>
      </w:r>
      <w:r w:rsidRPr="00647E42">
        <w:rPr>
          <w:snapToGrid w:val="0"/>
          <w:szCs w:val="28"/>
        </w:rPr>
        <w:t xml:space="preserve"> Республики Карелия от 5 марта 2013 года № 1687-ЗРК «О государственной поддержке инвестиционной деятельности в Республике Карелия»</w:t>
      </w:r>
      <w:r>
        <w:rPr>
          <w:snapToGrid w:val="0"/>
          <w:szCs w:val="28"/>
        </w:rPr>
        <w:t xml:space="preserve"> (далее – Закон Республики Карелия)</w:t>
      </w:r>
      <w:r w:rsidRPr="00480F6A">
        <w:rPr>
          <w:snapToGrid w:val="0"/>
          <w:szCs w:val="28"/>
        </w:rPr>
        <w:t>.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3. </w:t>
      </w:r>
      <w:r w:rsidRPr="005E4239">
        <w:rPr>
          <w:snapToGrid w:val="0"/>
          <w:szCs w:val="28"/>
        </w:rPr>
        <w:t xml:space="preserve">Инвестор представляет в Министерство экономического развития Республики Карелия (далее </w:t>
      </w:r>
      <w:r w:rsidR="00D53035">
        <w:rPr>
          <w:snapToGrid w:val="0"/>
          <w:szCs w:val="28"/>
        </w:rPr>
        <w:t>–</w:t>
      </w:r>
      <w:r w:rsidRPr="005E4239">
        <w:rPr>
          <w:snapToGrid w:val="0"/>
          <w:szCs w:val="28"/>
        </w:rPr>
        <w:t xml:space="preserve"> Министерство) заявление в произвольной форме с приложением следующих документов: 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а) нотариально заверенные копии учредительных документов;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б) бизнес-план инвестиционного проекта, утвержденный инвестором;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 xml:space="preserve">в) аудиторское заключение аудиторской организации, индивидуального аудитора на инвестиционный проект;  </w:t>
      </w:r>
    </w:p>
    <w:p w:rsidR="007E42CB" w:rsidRPr="00480F6A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480F6A">
        <w:rPr>
          <w:snapToGrid w:val="0"/>
          <w:szCs w:val="28"/>
        </w:rPr>
        <w:t xml:space="preserve">г) заверенные инвестором (для индивидуальных предпринимателей </w:t>
      </w:r>
      <w:r w:rsidR="00D53035">
        <w:rPr>
          <w:snapToGrid w:val="0"/>
          <w:szCs w:val="28"/>
        </w:rPr>
        <w:t>–</w:t>
      </w:r>
      <w:r w:rsidRPr="00480F6A">
        <w:rPr>
          <w:snapToGrid w:val="0"/>
          <w:szCs w:val="28"/>
        </w:rPr>
        <w:t xml:space="preserve"> подписью индивидуального предпринимателя с расшифровкой подписи и датой заверения, для юридического лица </w:t>
      </w:r>
      <w:r w:rsidR="00D53035">
        <w:rPr>
          <w:snapToGrid w:val="0"/>
          <w:szCs w:val="28"/>
        </w:rPr>
        <w:t>–</w:t>
      </w:r>
      <w:r w:rsidRPr="00480F6A">
        <w:rPr>
          <w:snapToGrid w:val="0"/>
          <w:szCs w:val="28"/>
        </w:rPr>
        <w:t xml:space="preserve"> подписью руководителя с расшифровкой подписи, печатью организации и датой заверения):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расчет окупаемости инвестиционного проекта по форме согласно приложению к настоящему Порядку;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обязательство ведения раздельного учета расходов по каждому инвестиционному проекту (в случае реализации нескольких инвестиционных проектов);</w:t>
      </w:r>
    </w:p>
    <w:p w:rsidR="007E42CB" w:rsidRPr="005E4239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0C0C0C">
        <w:rPr>
          <w:snapToGrid w:val="0"/>
          <w:szCs w:val="28"/>
        </w:rPr>
        <w:t>справк</w:t>
      </w:r>
      <w:r>
        <w:rPr>
          <w:snapToGrid w:val="0"/>
          <w:szCs w:val="28"/>
        </w:rPr>
        <w:t>а</w:t>
      </w:r>
      <w:r w:rsidR="00D53035">
        <w:rPr>
          <w:snapToGrid w:val="0"/>
          <w:szCs w:val="28"/>
        </w:rPr>
        <w:t>,</w:t>
      </w:r>
      <w:r w:rsidRPr="000C0C0C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 подтверждающая, что в отношении инвестора не проводятся</w:t>
      </w:r>
      <w:r w:rsidRPr="005E4239">
        <w:rPr>
          <w:snapToGrid w:val="0"/>
          <w:szCs w:val="28"/>
        </w:rPr>
        <w:t xml:space="preserve">  процедур</w:t>
      </w:r>
      <w:r>
        <w:rPr>
          <w:snapToGrid w:val="0"/>
          <w:szCs w:val="28"/>
        </w:rPr>
        <w:t>ы</w:t>
      </w:r>
      <w:r w:rsidRPr="005E4239">
        <w:rPr>
          <w:snapToGrid w:val="0"/>
          <w:szCs w:val="28"/>
        </w:rPr>
        <w:t xml:space="preserve"> банкротства, ликвидации или реорганизации </w:t>
      </w:r>
      <w:r w:rsidRPr="000C0C0C">
        <w:rPr>
          <w:snapToGrid w:val="0"/>
          <w:szCs w:val="28"/>
        </w:rPr>
        <w:t>(по состоянию на первое число месяца подачи заявления);</w:t>
      </w:r>
    </w:p>
    <w:p w:rsidR="007E42CB" w:rsidRDefault="007E42CB" w:rsidP="005E11F8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справк</w:t>
      </w:r>
      <w:r>
        <w:rPr>
          <w:snapToGrid w:val="0"/>
          <w:szCs w:val="28"/>
        </w:rPr>
        <w:t>а</w:t>
      </w:r>
      <w:r w:rsidRPr="005E4239">
        <w:rPr>
          <w:snapToGrid w:val="0"/>
          <w:szCs w:val="28"/>
        </w:rPr>
        <w:t xml:space="preserve">  об отсутствии задолженности по заработной плате работникам и об установлении заработной платы не ниже двукратной величины установленного Правительством Республики Карелия прожиточного минимума для трудоспособного населения (по состоянию на первое число месяца подачи заявления);</w:t>
      </w:r>
    </w:p>
    <w:p w:rsidR="005E11F8" w:rsidRDefault="005E11F8" w:rsidP="007E42CB">
      <w:pPr>
        <w:autoSpaceDE w:val="0"/>
        <w:autoSpaceDN w:val="0"/>
        <w:adjustRightInd w:val="0"/>
        <w:ind w:firstLine="851"/>
        <w:jc w:val="both"/>
        <w:rPr>
          <w:snapToGrid w:val="0"/>
          <w:szCs w:val="28"/>
        </w:rPr>
      </w:pPr>
    </w:p>
    <w:p w:rsidR="005E11F8" w:rsidRDefault="005E11F8" w:rsidP="007E42CB">
      <w:pPr>
        <w:autoSpaceDE w:val="0"/>
        <w:autoSpaceDN w:val="0"/>
        <w:adjustRightInd w:val="0"/>
        <w:ind w:firstLine="851"/>
        <w:jc w:val="both"/>
        <w:rPr>
          <w:snapToGrid w:val="0"/>
          <w:szCs w:val="28"/>
        </w:rPr>
      </w:pPr>
    </w:p>
    <w:p w:rsidR="005E11F8" w:rsidRPr="005E11F8" w:rsidRDefault="005E11F8" w:rsidP="005E11F8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5E11F8">
        <w:rPr>
          <w:snapToGrid w:val="0"/>
          <w:sz w:val="24"/>
          <w:szCs w:val="24"/>
        </w:rPr>
        <w:lastRenderedPageBreak/>
        <w:t>2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копи</w:t>
      </w:r>
      <w:r>
        <w:rPr>
          <w:snapToGrid w:val="0"/>
          <w:szCs w:val="28"/>
        </w:rPr>
        <w:t>я</w:t>
      </w:r>
      <w:r w:rsidRPr="005E4239">
        <w:rPr>
          <w:snapToGrid w:val="0"/>
          <w:szCs w:val="28"/>
        </w:rPr>
        <w:t xml:space="preserve">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случаев, когда проведение государственной экспертизы не требуется в соответствии </w:t>
      </w:r>
      <w:r w:rsidR="00D53035">
        <w:rPr>
          <w:snapToGrid w:val="0"/>
          <w:szCs w:val="28"/>
        </w:rPr>
        <w:t xml:space="preserve">с </w:t>
      </w:r>
      <w:r w:rsidRPr="005E4239">
        <w:rPr>
          <w:snapToGrid w:val="0"/>
          <w:szCs w:val="28"/>
        </w:rPr>
        <w:t xml:space="preserve">законодательством Российской Федерации; 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proofErr w:type="gramStart"/>
      <w:r w:rsidRPr="005E4239">
        <w:rPr>
          <w:snapToGrid w:val="0"/>
          <w:szCs w:val="28"/>
        </w:rPr>
        <w:t>копи</w:t>
      </w:r>
      <w:r>
        <w:rPr>
          <w:snapToGrid w:val="0"/>
          <w:szCs w:val="28"/>
        </w:rPr>
        <w:t>я</w:t>
      </w:r>
      <w:r w:rsidRPr="005E4239">
        <w:rPr>
          <w:snapToGrid w:val="0"/>
          <w:szCs w:val="28"/>
        </w:rPr>
        <w:t xml:space="preserve"> годовой бухгалтерской (финансовой) отчетности за отчетный год, установленной законодательством Российской Федерации, с отметкой налогового органа (для организаций, применяющих упрощенную систему налогообложения </w:t>
      </w:r>
      <w:r w:rsidR="001431FA">
        <w:rPr>
          <w:snapToGrid w:val="0"/>
          <w:szCs w:val="28"/>
        </w:rPr>
        <w:t>–</w:t>
      </w:r>
      <w:r w:rsidRPr="005E4239">
        <w:rPr>
          <w:snapToGrid w:val="0"/>
          <w:szCs w:val="28"/>
        </w:rPr>
        <w:t xml:space="preserve"> книг</w:t>
      </w:r>
      <w:r>
        <w:rPr>
          <w:snapToGrid w:val="0"/>
          <w:szCs w:val="28"/>
        </w:rPr>
        <w:t>а</w:t>
      </w:r>
      <w:r w:rsidRPr="005E4239">
        <w:rPr>
          <w:snapToGrid w:val="0"/>
          <w:szCs w:val="28"/>
        </w:rPr>
        <w:t xml:space="preserve"> учета доходов и расходов, копи</w:t>
      </w:r>
      <w:r>
        <w:rPr>
          <w:snapToGrid w:val="0"/>
          <w:szCs w:val="28"/>
        </w:rPr>
        <w:t>я</w:t>
      </w:r>
      <w:r w:rsidRPr="005E4239">
        <w:rPr>
          <w:snapToGrid w:val="0"/>
          <w:szCs w:val="28"/>
        </w:rPr>
        <w:t xml:space="preserve"> налоговой декларации) и копи</w:t>
      </w:r>
      <w:r>
        <w:rPr>
          <w:snapToGrid w:val="0"/>
          <w:szCs w:val="28"/>
        </w:rPr>
        <w:t>я</w:t>
      </w:r>
      <w:r w:rsidRPr="005E4239">
        <w:rPr>
          <w:snapToGrid w:val="0"/>
          <w:szCs w:val="28"/>
        </w:rPr>
        <w:t xml:space="preserve"> промежуточной бухгалтерской (финансовой) отчетности за отчетный период менее отчетного года (по состоянию на первое число месяца подачи заявления).</w:t>
      </w:r>
      <w:proofErr w:type="gramEnd"/>
      <w:r w:rsidRPr="005E4239">
        <w:rPr>
          <w:snapToGrid w:val="0"/>
          <w:szCs w:val="28"/>
        </w:rPr>
        <w:t xml:space="preserve"> Копи</w:t>
      </w:r>
      <w:r>
        <w:rPr>
          <w:snapToGrid w:val="0"/>
          <w:szCs w:val="28"/>
        </w:rPr>
        <w:t>я</w:t>
      </w:r>
      <w:r w:rsidRPr="005E4239">
        <w:rPr>
          <w:snapToGrid w:val="0"/>
          <w:szCs w:val="28"/>
        </w:rPr>
        <w:t xml:space="preserve"> бухгалтерской (финансовой) отчетности за отчетный период не представляется в случае, если юридическое лицо образовано для целей реализации инвестиционного проекта в отчетном периоде.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4. </w:t>
      </w:r>
      <w:proofErr w:type="gramStart"/>
      <w:r w:rsidRPr="00480F6A">
        <w:rPr>
          <w:snapToGrid w:val="0"/>
          <w:szCs w:val="28"/>
        </w:rPr>
        <w:t xml:space="preserve">Министерство запрашивает у налогового органа, территориального органа </w:t>
      </w:r>
      <w:r w:rsidRPr="005E4239">
        <w:rPr>
          <w:snapToGrid w:val="0"/>
          <w:szCs w:val="28"/>
        </w:rPr>
        <w:t xml:space="preserve">Пенсионного фонда Российской Федерации и </w:t>
      </w:r>
      <w:r w:rsidRPr="00480F6A"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>территориального органа Фонда социального страхования Российской Федерации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</w:t>
      </w:r>
      <w:r w:rsidR="00D53035">
        <w:rPr>
          <w:snapToGrid w:val="0"/>
          <w:szCs w:val="28"/>
        </w:rPr>
        <w:t>,</w:t>
      </w:r>
      <w:r w:rsidRPr="005E4239">
        <w:rPr>
          <w:snapToGrid w:val="0"/>
          <w:szCs w:val="28"/>
        </w:rPr>
        <w:t xml:space="preserve"> информацию об исполнении инвестором обязанности по уплате налогов, сборов, страховых взносов, пеней и налоговых санкций, если инвестор не представил указанные документы</w:t>
      </w:r>
      <w:proofErr w:type="gramEnd"/>
      <w:r w:rsidRPr="005E4239">
        <w:rPr>
          <w:snapToGrid w:val="0"/>
          <w:szCs w:val="28"/>
        </w:rPr>
        <w:t xml:space="preserve"> самостоятельно.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5. </w:t>
      </w:r>
      <w:r w:rsidRPr="005E4239">
        <w:rPr>
          <w:snapToGrid w:val="0"/>
          <w:szCs w:val="28"/>
        </w:rPr>
        <w:t xml:space="preserve">Полнота представления документов, указанных в пункте 3 настоящего Порядка, проверяется Министерством в течение 5 рабочих дней со дня </w:t>
      </w:r>
      <w:r>
        <w:rPr>
          <w:snapToGrid w:val="0"/>
          <w:szCs w:val="28"/>
        </w:rPr>
        <w:t xml:space="preserve">их </w:t>
      </w:r>
      <w:r w:rsidRPr="005E4239">
        <w:rPr>
          <w:snapToGrid w:val="0"/>
          <w:szCs w:val="28"/>
        </w:rPr>
        <w:t>поступления.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6. </w:t>
      </w:r>
      <w:r w:rsidRPr="005E4239">
        <w:rPr>
          <w:snapToGrid w:val="0"/>
          <w:szCs w:val="28"/>
        </w:rPr>
        <w:t>В случае если инвестор представил неполный пакет документов, указанны</w:t>
      </w:r>
      <w:r>
        <w:rPr>
          <w:snapToGrid w:val="0"/>
          <w:szCs w:val="28"/>
        </w:rPr>
        <w:t>х</w:t>
      </w:r>
      <w:r w:rsidRPr="005E4239">
        <w:rPr>
          <w:snapToGrid w:val="0"/>
          <w:szCs w:val="28"/>
        </w:rPr>
        <w:t xml:space="preserve"> в пункте 3 настоящего Порядка, Министерство в течение 10 рабочих дней со дня поступления документов направляет инвестору мотивированное письмо об отказе в рассмотрении заявления о заключении инвестиционного соглашения.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7. </w:t>
      </w:r>
      <w:r w:rsidRPr="005E4239">
        <w:rPr>
          <w:snapToGrid w:val="0"/>
          <w:szCs w:val="28"/>
        </w:rPr>
        <w:t>После устранения замечаний инвест</w:t>
      </w:r>
      <w:r>
        <w:rPr>
          <w:snapToGrid w:val="0"/>
          <w:szCs w:val="28"/>
        </w:rPr>
        <w:t xml:space="preserve">ор вправе повторно обратиться в </w:t>
      </w:r>
      <w:r w:rsidRPr="005E4239">
        <w:rPr>
          <w:snapToGrid w:val="0"/>
          <w:szCs w:val="28"/>
        </w:rPr>
        <w:t>Министерств</w:t>
      </w:r>
      <w:r>
        <w:rPr>
          <w:snapToGrid w:val="0"/>
          <w:szCs w:val="28"/>
        </w:rPr>
        <w:t>о</w:t>
      </w:r>
      <w:r w:rsidRPr="005E4239">
        <w:rPr>
          <w:snapToGrid w:val="0"/>
          <w:szCs w:val="28"/>
        </w:rPr>
        <w:t xml:space="preserve"> с заявлением о заключении инвестиционного соглашения.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8. </w:t>
      </w:r>
      <w:r w:rsidRPr="00D40C8E">
        <w:rPr>
          <w:snapToGrid w:val="0"/>
          <w:szCs w:val="28"/>
        </w:rPr>
        <w:t>В случае соответствия документов</w:t>
      </w:r>
      <w:r>
        <w:rPr>
          <w:snapToGrid w:val="0"/>
          <w:szCs w:val="28"/>
        </w:rPr>
        <w:t>,</w:t>
      </w:r>
      <w:r w:rsidRPr="00D40C8E">
        <w:rPr>
          <w:snapToGrid w:val="0"/>
          <w:szCs w:val="28"/>
        </w:rPr>
        <w:t xml:space="preserve"> указанных в  пункте 3 настоящего Порядка</w:t>
      </w:r>
      <w:r>
        <w:rPr>
          <w:snapToGrid w:val="0"/>
          <w:szCs w:val="28"/>
        </w:rPr>
        <w:t>,</w:t>
      </w:r>
      <w:r w:rsidRPr="00D40C8E">
        <w:rPr>
          <w:snapToGrid w:val="0"/>
          <w:szCs w:val="28"/>
        </w:rPr>
        <w:t xml:space="preserve"> установленным требованиям </w:t>
      </w:r>
      <w:r w:rsidRPr="005E4239">
        <w:rPr>
          <w:snapToGrid w:val="0"/>
          <w:szCs w:val="28"/>
        </w:rPr>
        <w:t xml:space="preserve"> </w:t>
      </w:r>
      <w:r w:rsidRPr="00D40C8E">
        <w:rPr>
          <w:snapToGrid w:val="0"/>
          <w:szCs w:val="28"/>
        </w:rPr>
        <w:t xml:space="preserve">Министерство: </w:t>
      </w:r>
    </w:p>
    <w:p w:rsidR="00BA5B10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течение 10 рабочих дней со дня поступления документов </w:t>
      </w:r>
      <w:r w:rsidRPr="00480F6A">
        <w:rPr>
          <w:snapToGrid w:val="0"/>
          <w:szCs w:val="28"/>
        </w:rPr>
        <w:t>направляет копию бизнес-плана инвестиционного проекта в соответствующий орган исполнительной власти Республики Карелия (по виду деятельности инвестора) или соответствующем</w:t>
      </w:r>
      <w:r>
        <w:rPr>
          <w:snapToGrid w:val="0"/>
          <w:szCs w:val="28"/>
        </w:rPr>
        <w:t xml:space="preserve">у </w:t>
      </w:r>
      <w:r w:rsidRPr="00480F6A">
        <w:rPr>
          <w:snapToGrid w:val="0"/>
          <w:szCs w:val="28"/>
        </w:rPr>
        <w:t xml:space="preserve"> эксперт</w:t>
      </w:r>
      <w:r>
        <w:rPr>
          <w:snapToGrid w:val="0"/>
          <w:szCs w:val="28"/>
        </w:rPr>
        <w:t>у</w:t>
      </w:r>
      <w:r w:rsidRPr="00480F6A">
        <w:rPr>
          <w:snapToGrid w:val="0"/>
          <w:szCs w:val="28"/>
        </w:rPr>
        <w:t xml:space="preserve"> для получения заключения о целесообразности</w:t>
      </w:r>
      <w:r>
        <w:rPr>
          <w:snapToGrid w:val="0"/>
          <w:szCs w:val="28"/>
        </w:rPr>
        <w:t xml:space="preserve"> проекта</w:t>
      </w:r>
      <w:r w:rsidRPr="00480F6A">
        <w:rPr>
          <w:snapToGrid w:val="0"/>
          <w:szCs w:val="28"/>
        </w:rPr>
        <w:t xml:space="preserve"> и обоснованности прогнозируемых величин, закладываемых в  бизнес-плане</w:t>
      </w:r>
      <w:r>
        <w:rPr>
          <w:snapToGrid w:val="0"/>
          <w:szCs w:val="28"/>
        </w:rPr>
        <w:t xml:space="preserve"> (далее – заключение). Заключение предоставляется в Министерство в течение 15 рабочих дней со дня поступления копии бизнес-плана</w:t>
      </w:r>
      <w:r w:rsidRPr="00926FB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 </w:t>
      </w:r>
      <w:r w:rsidRPr="00926FBA">
        <w:rPr>
          <w:snapToGrid w:val="0"/>
          <w:szCs w:val="28"/>
        </w:rPr>
        <w:t>соответствующий орган исполнительной власти Республики Карелия или соответствующ</w:t>
      </w:r>
      <w:r>
        <w:rPr>
          <w:snapToGrid w:val="0"/>
          <w:szCs w:val="28"/>
        </w:rPr>
        <w:t>ему</w:t>
      </w:r>
      <w:r w:rsidRPr="00926FBA">
        <w:rPr>
          <w:snapToGrid w:val="0"/>
          <w:szCs w:val="28"/>
        </w:rPr>
        <w:t xml:space="preserve"> эксперт</w:t>
      </w:r>
      <w:r>
        <w:rPr>
          <w:snapToGrid w:val="0"/>
          <w:szCs w:val="28"/>
        </w:rPr>
        <w:t>у</w:t>
      </w:r>
      <w:r w:rsidRPr="00480F6A">
        <w:rPr>
          <w:snapToGrid w:val="0"/>
          <w:szCs w:val="28"/>
        </w:rPr>
        <w:t>;</w:t>
      </w:r>
    </w:p>
    <w:p w:rsidR="00BA5B10" w:rsidRDefault="00BA5B10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</w:p>
    <w:p w:rsidR="00BA5B10" w:rsidRPr="005E11F8" w:rsidRDefault="00BA5B10" w:rsidP="00BA5B1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3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proofErr w:type="gramStart"/>
      <w:r w:rsidRPr="005E4239">
        <w:rPr>
          <w:snapToGrid w:val="0"/>
          <w:szCs w:val="28"/>
        </w:rPr>
        <w:t>в течение 25 рабочих дней со дня поступления документов,</w:t>
      </w:r>
      <w:r w:rsidRPr="00D40C8E">
        <w:rPr>
          <w:snapToGrid w:val="0"/>
          <w:szCs w:val="28"/>
        </w:rPr>
        <w:t xml:space="preserve"> указанных в  пункте 3 настоящего Порядка</w:t>
      </w:r>
      <w:r>
        <w:rPr>
          <w:snapToGrid w:val="0"/>
          <w:szCs w:val="28"/>
        </w:rPr>
        <w:t>,</w:t>
      </w:r>
      <w:r w:rsidRPr="005E4239">
        <w:rPr>
          <w:snapToGrid w:val="0"/>
          <w:szCs w:val="28"/>
        </w:rPr>
        <w:t xml:space="preserve"> проводит анализ бизнес-плана инвестиционного проекта и осуществляет проверку определенных инвестором показателей рентабельности проекта, правильности формирования статей доходов и расходов, включенных в расчет окупаемости инвестиционного проекта, с учетом  мнения аудиторской организации или индивидуального аудитора, изложенного в аудиторском заключении.</w:t>
      </w:r>
      <w:proofErr w:type="gramEnd"/>
      <w:r w:rsidRPr="005E4239">
        <w:rPr>
          <w:snapToGrid w:val="0"/>
          <w:szCs w:val="28"/>
        </w:rPr>
        <w:t xml:space="preserve"> Дополнительно запрашивает у инвестора в случае недостаточности указанной в бизнес</w:t>
      </w:r>
      <w:r w:rsidR="00D53035">
        <w:rPr>
          <w:snapToGrid w:val="0"/>
          <w:szCs w:val="28"/>
        </w:rPr>
        <w:t>-</w:t>
      </w:r>
      <w:r w:rsidRPr="005E4239">
        <w:rPr>
          <w:snapToGrid w:val="0"/>
          <w:szCs w:val="28"/>
        </w:rPr>
        <w:t>плане информации в любой удобной форме (письменно, устно, посредств</w:t>
      </w:r>
      <w:r>
        <w:rPr>
          <w:snapToGrid w:val="0"/>
          <w:szCs w:val="28"/>
        </w:rPr>
        <w:t>о</w:t>
      </w:r>
      <w:r w:rsidRPr="005E4239">
        <w:rPr>
          <w:snapToGrid w:val="0"/>
          <w:szCs w:val="28"/>
        </w:rPr>
        <w:t>м телефонной или электронной связи) необходимые для уточнения бизнес</w:t>
      </w:r>
      <w:r w:rsidR="00D53035">
        <w:rPr>
          <w:snapToGrid w:val="0"/>
          <w:szCs w:val="28"/>
        </w:rPr>
        <w:t>-</w:t>
      </w:r>
      <w:r w:rsidRPr="005E4239">
        <w:rPr>
          <w:snapToGrid w:val="0"/>
          <w:szCs w:val="28"/>
        </w:rPr>
        <w:t>плана документы и информацию. В случае недостоверности произведенных расчетов показателей бизнес-плана направляет инвестору письменное мотивированное решение о доработке инвестором расчетов показателей бизнес-плана. Течение срока, установленного настоящим абзацем, приостанавливается на период доработки инвестором расчетов показателей бизнес-плана;</w:t>
      </w:r>
    </w:p>
    <w:p w:rsidR="007E42CB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 xml:space="preserve">в течение 50 рабочих дней со дня поступления документов, </w:t>
      </w:r>
      <w:r w:rsidRPr="00D40C8E">
        <w:rPr>
          <w:snapToGrid w:val="0"/>
          <w:szCs w:val="28"/>
        </w:rPr>
        <w:t>указанных в  пункте 3 настоящего Порядка</w:t>
      </w:r>
      <w:r>
        <w:rPr>
          <w:snapToGrid w:val="0"/>
          <w:szCs w:val="28"/>
        </w:rPr>
        <w:t>,</w:t>
      </w:r>
      <w:r w:rsidRPr="005E4239">
        <w:rPr>
          <w:snapToGrid w:val="0"/>
          <w:szCs w:val="28"/>
        </w:rPr>
        <w:t xml:space="preserve"> на основании анализа бизнес-плана и заключения готовит сводное заключение, которое должно содержать выводы об одобрении инвестиционного проекта для заключ</w:t>
      </w:r>
      <w:r>
        <w:rPr>
          <w:snapToGrid w:val="0"/>
          <w:szCs w:val="28"/>
        </w:rPr>
        <w:t xml:space="preserve">ения инвестиционного соглашения или </w:t>
      </w:r>
      <w:r w:rsidRPr="005E4239">
        <w:rPr>
          <w:snapToGrid w:val="0"/>
          <w:szCs w:val="28"/>
        </w:rPr>
        <w:t xml:space="preserve"> об отказе в одобрении инвестиционного проекта для заключения инвестиционного соглашения.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В случае доработки инвестором</w:t>
      </w:r>
      <w:r w:rsidRPr="00A35FD0">
        <w:rPr>
          <w:snapToGrid w:val="0"/>
          <w:szCs w:val="28"/>
        </w:rPr>
        <w:t xml:space="preserve"> расчетов</w:t>
      </w:r>
      <w:r>
        <w:rPr>
          <w:snapToGrid w:val="0"/>
          <w:szCs w:val="28"/>
        </w:rPr>
        <w:t xml:space="preserve"> показателей</w:t>
      </w:r>
      <w:r w:rsidRPr="00A35FD0">
        <w:rPr>
          <w:snapToGrid w:val="0"/>
          <w:szCs w:val="28"/>
        </w:rPr>
        <w:t xml:space="preserve"> бизнес-плана</w:t>
      </w:r>
      <w:r>
        <w:rPr>
          <w:snapToGrid w:val="0"/>
          <w:szCs w:val="28"/>
        </w:rPr>
        <w:t xml:space="preserve"> срок подготовки Министерством сводного заключения продлевается на период доработки. </w:t>
      </w:r>
      <w:r w:rsidRPr="00A35FD0">
        <w:rPr>
          <w:snapToGrid w:val="0"/>
          <w:szCs w:val="28"/>
        </w:rPr>
        <w:t xml:space="preserve"> 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9. </w:t>
      </w:r>
      <w:r w:rsidRPr="00480F6A">
        <w:rPr>
          <w:snapToGrid w:val="0"/>
          <w:szCs w:val="28"/>
        </w:rPr>
        <w:t>Инвестору отказывается в заключени</w:t>
      </w:r>
      <w:proofErr w:type="gramStart"/>
      <w:r>
        <w:rPr>
          <w:snapToGrid w:val="0"/>
          <w:szCs w:val="28"/>
        </w:rPr>
        <w:t>и</w:t>
      </w:r>
      <w:proofErr w:type="gramEnd"/>
      <w:r w:rsidRPr="00480F6A">
        <w:rPr>
          <w:snapToGrid w:val="0"/>
          <w:szCs w:val="28"/>
        </w:rPr>
        <w:t xml:space="preserve"> инвестиционного соглашения в случаях, предусмотренных пунктами 1-8 части 1 статьи 9 Закона Республики Карелия. </w:t>
      </w:r>
      <w:r>
        <w:rPr>
          <w:snapToGrid w:val="0"/>
          <w:szCs w:val="28"/>
        </w:rPr>
        <w:t xml:space="preserve">Министерство в течение 5 рабочих дней со дня подготовки сводного заключения об отказе в одобрении инвестиционного проекта направляет инвестору </w:t>
      </w:r>
      <w:r w:rsidRPr="005E4239">
        <w:rPr>
          <w:snapToGrid w:val="0"/>
          <w:szCs w:val="28"/>
        </w:rPr>
        <w:t xml:space="preserve"> мотивированный </w:t>
      </w:r>
      <w:r w:rsidRPr="00480F6A">
        <w:rPr>
          <w:snapToGrid w:val="0"/>
          <w:szCs w:val="28"/>
        </w:rPr>
        <w:t>отказ в заключени</w:t>
      </w:r>
      <w:proofErr w:type="gramStart"/>
      <w:r>
        <w:rPr>
          <w:snapToGrid w:val="0"/>
          <w:szCs w:val="28"/>
        </w:rPr>
        <w:t>и</w:t>
      </w:r>
      <w:proofErr w:type="gramEnd"/>
      <w:r w:rsidRPr="00480F6A">
        <w:rPr>
          <w:snapToGrid w:val="0"/>
          <w:szCs w:val="28"/>
        </w:rPr>
        <w:t xml:space="preserve"> инвестиционного соглашения </w:t>
      </w:r>
      <w:r>
        <w:rPr>
          <w:snapToGrid w:val="0"/>
          <w:szCs w:val="28"/>
        </w:rPr>
        <w:t xml:space="preserve">в письменном виде с приложением представленных инвестором документов. 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10. </w:t>
      </w:r>
      <w:r w:rsidRPr="00480F6A">
        <w:rPr>
          <w:snapToGrid w:val="0"/>
          <w:szCs w:val="28"/>
        </w:rPr>
        <w:t>Министерств</w:t>
      </w:r>
      <w:r>
        <w:rPr>
          <w:snapToGrid w:val="0"/>
          <w:szCs w:val="28"/>
        </w:rPr>
        <w:t>о заключает и</w:t>
      </w:r>
      <w:r w:rsidRPr="00480F6A">
        <w:rPr>
          <w:snapToGrid w:val="0"/>
          <w:szCs w:val="28"/>
        </w:rPr>
        <w:t>нвестиционное соглашение</w:t>
      </w:r>
      <w:r>
        <w:rPr>
          <w:snapToGrid w:val="0"/>
          <w:szCs w:val="28"/>
        </w:rPr>
        <w:t xml:space="preserve"> с  инвестором</w:t>
      </w:r>
      <w:r w:rsidRPr="00480F6A"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>в течение 5 рабочих дней</w:t>
      </w:r>
      <w:r w:rsidRPr="00480F6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со дня одобрения инвестиционного проекта.</w:t>
      </w:r>
      <w:r w:rsidRPr="00480F6A">
        <w:rPr>
          <w:snapToGrid w:val="0"/>
          <w:szCs w:val="28"/>
        </w:rPr>
        <w:t xml:space="preserve"> 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11. </w:t>
      </w:r>
      <w:r w:rsidRPr="005E4239">
        <w:rPr>
          <w:snapToGrid w:val="0"/>
          <w:szCs w:val="28"/>
        </w:rPr>
        <w:t>Типовая форма инвестиционного соглашения утверждается Министерством.</w:t>
      </w:r>
    </w:p>
    <w:p w:rsidR="007E42CB" w:rsidRPr="005E4239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12.</w:t>
      </w:r>
      <w:r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 xml:space="preserve">Инвестиционное соглашение заключается с инвестором, реализующим инвестиционный проект, на период </w:t>
      </w:r>
      <w:r>
        <w:rPr>
          <w:snapToGrid w:val="0"/>
          <w:szCs w:val="28"/>
        </w:rPr>
        <w:t>срока окупаемости проекта, определяемый в со</w:t>
      </w:r>
      <w:r w:rsidRPr="005E4239">
        <w:rPr>
          <w:snapToGrid w:val="0"/>
          <w:szCs w:val="28"/>
        </w:rPr>
        <w:t>ответствии с Законом Республики Карелия от 30 декабря 1999</w:t>
      </w:r>
      <w:r w:rsidR="001431FA"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>года № 384-ЗРК «О налогах (ставках налогов) на территории Республики Карелия»</w:t>
      </w:r>
      <w:r w:rsidRPr="00480F6A">
        <w:rPr>
          <w:snapToGrid w:val="0"/>
          <w:szCs w:val="28"/>
        </w:rPr>
        <w:t>.</w:t>
      </w:r>
    </w:p>
    <w:p w:rsidR="007E42CB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13. Дата начала срока окупаемости инвестиционного проекта определяется Министерством на основании представленных инвестором документов, подтверждающих факт осуществления (в том числе и до заключения инвестиционного соглашения)</w:t>
      </w:r>
      <w:r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>затрат, связанных с реализацией инвестиционного проекта, и фиксируется в инвестиционном соглашении.</w:t>
      </w:r>
    </w:p>
    <w:p w:rsidR="00BA5B10" w:rsidRDefault="00BA5B10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</w:p>
    <w:p w:rsidR="00BA5B10" w:rsidRPr="005E11F8" w:rsidRDefault="00BA5B10" w:rsidP="00BA5B1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 xml:space="preserve">14. Датой окончания срока окупаемости инвестиционного проекта является последний день месяца, </w:t>
      </w:r>
      <w:r w:rsidRPr="00480F6A">
        <w:rPr>
          <w:snapToGrid w:val="0"/>
          <w:szCs w:val="28"/>
        </w:rPr>
        <w:t>в котором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</w:t>
      </w:r>
      <w:r w:rsidRPr="005E4239">
        <w:rPr>
          <w:snapToGrid w:val="0"/>
          <w:szCs w:val="28"/>
        </w:rPr>
        <w:t>, которая определяется Министерством на основании представляемых инвестором в Министерство в сроки, установленные инвестиционным соглашением, расчетов окупаемости инвестиционного проекта.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 xml:space="preserve">15. </w:t>
      </w:r>
      <w:r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 xml:space="preserve"> Для определения </w:t>
      </w:r>
      <w:proofErr w:type="gramStart"/>
      <w:r w:rsidRPr="005E4239">
        <w:rPr>
          <w:snapToGrid w:val="0"/>
          <w:szCs w:val="28"/>
        </w:rPr>
        <w:t>даты окончания срока окупаемости инвестиционного проекта</w:t>
      </w:r>
      <w:proofErr w:type="gramEnd"/>
      <w:r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 xml:space="preserve"> инвестор, реализующий инвестиционный проект, формирует показатели движения денежных средств и прибыли в соответствии с правилами ведения бухгалтерского учета.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16.</w:t>
      </w:r>
      <w:r>
        <w:rPr>
          <w:snapToGrid w:val="0"/>
          <w:szCs w:val="28"/>
        </w:rPr>
        <w:t xml:space="preserve"> </w:t>
      </w:r>
      <w:r w:rsidRPr="005E4239">
        <w:rPr>
          <w:snapToGrid w:val="0"/>
          <w:szCs w:val="28"/>
        </w:rPr>
        <w:t>Если доля выручки от реализации продукции (работ, услуг), произведенной на созданных в ходе реализации инвестиционного проекта мощностях, составляет 75 и более процентов от общей суммы выручки по организации, то в расчет окупаемости инвестиционного проекта включаются показатели в целом по деятельности организации.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5E4239">
        <w:rPr>
          <w:snapToGrid w:val="0"/>
          <w:szCs w:val="28"/>
        </w:rPr>
        <w:t>17.</w:t>
      </w:r>
      <w:r>
        <w:rPr>
          <w:snapToGrid w:val="0"/>
          <w:szCs w:val="28"/>
        </w:rPr>
        <w:t xml:space="preserve"> </w:t>
      </w:r>
      <w:proofErr w:type="gramStart"/>
      <w:r w:rsidRPr="005E4239">
        <w:rPr>
          <w:snapToGrid w:val="0"/>
          <w:szCs w:val="28"/>
        </w:rPr>
        <w:t>Если доля выручки от реализации продукции (работ, услуг), произведенной на созданных в ходе реализации инвестиционного проекта мощностях, составляет менее 75 процентов от общей суммы выручки по организации, то в расчет окупаемости инвестиционного проекта включаются данные исходя из деятельности организации непосредственно от реализации продукции (работ, услуг) в рамках инвестиционного проекта.</w:t>
      </w:r>
      <w:proofErr w:type="gramEnd"/>
      <w:r w:rsidRPr="005E4239">
        <w:rPr>
          <w:snapToGrid w:val="0"/>
          <w:szCs w:val="28"/>
        </w:rPr>
        <w:t xml:space="preserve"> При этом прибыль (убыток) организации для расчетов берется в целом по деятельности организации.  При невозможности ведения инвестором раздельного учета данных по выручке, полученной от реализации продукции (работ, услуг) в рамках  инвестиционного проекта, показатель выручки определяется расчетным путем пропорционально доли стоимости основных средств, вновь созданных (приобретенных) в соответствии с инвестиционным проектом, к общей стоимости основных средств организации по бухгалтерскому балансу на конец отчетного периода.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480F6A">
        <w:rPr>
          <w:snapToGrid w:val="0"/>
          <w:szCs w:val="28"/>
        </w:rPr>
        <w:t>18. Инвестиционное соглашение оформляется в трех экземплярах</w:t>
      </w:r>
      <w:r>
        <w:rPr>
          <w:snapToGrid w:val="0"/>
          <w:szCs w:val="28"/>
        </w:rPr>
        <w:t>,</w:t>
      </w:r>
      <w:r w:rsidRPr="00480F6A">
        <w:rPr>
          <w:snapToGrid w:val="0"/>
          <w:szCs w:val="28"/>
        </w:rPr>
        <w:t xml:space="preserve"> по одному для инвестора, Министерства и налогового органа по месту налогового учета инвестора. </w:t>
      </w:r>
    </w:p>
    <w:p w:rsidR="007E42CB" w:rsidRPr="00480F6A" w:rsidRDefault="007E42CB" w:rsidP="00436F81">
      <w:pPr>
        <w:autoSpaceDE w:val="0"/>
        <w:autoSpaceDN w:val="0"/>
        <w:adjustRightInd w:val="0"/>
        <w:ind w:firstLine="567"/>
        <w:jc w:val="both"/>
        <w:rPr>
          <w:snapToGrid w:val="0"/>
          <w:szCs w:val="28"/>
        </w:rPr>
      </w:pPr>
      <w:r w:rsidRPr="00480F6A">
        <w:rPr>
          <w:snapToGrid w:val="0"/>
          <w:szCs w:val="28"/>
        </w:rPr>
        <w:t xml:space="preserve">19. В течение </w:t>
      </w:r>
      <w:r>
        <w:rPr>
          <w:snapToGrid w:val="0"/>
          <w:szCs w:val="28"/>
        </w:rPr>
        <w:t>5</w:t>
      </w:r>
      <w:r w:rsidRPr="00480F6A">
        <w:rPr>
          <w:snapToGrid w:val="0"/>
          <w:szCs w:val="28"/>
        </w:rPr>
        <w:t xml:space="preserve"> рабочих дней с</w:t>
      </w:r>
      <w:r>
        <w:rPr>
          <w:snapToGrid w:val="0"/>
          <w:szCs w:val="28"/>
        </w:rPr>
        <w:t xml:space="preserve">о дня </w:t>
      </w:r>
      <w:r w:rsidRPr="00480F6A">
        <w:rPr>
          <w:snapToGrid w:val="0"/>
          <w:szCs w:val="28"/>
        </w:rPr>
        <w:t xml:space="preserve">подписания инвестиционного соглашения Министерство направляет один экземпляр инвестиционного соглашения в налоговый орган по месту налогового учета инвестора. </w:t>
      </w:r>
    </w:p>
    <w:p w:rsidR="007E42CB" w:rsidRPr="00480F6A" w:rsidRDefault="007E42CB" w:rsidP="00436F81">
      <w:pPr>
        <w:ind w:firstLine="567"/>
        <w:jc w:val="right"/>
        <w:rPr>
          <w:snapToGrid w:val="0"/>
          <w:sz w:val="24"/>
          <w:szCs w:val="24"/>
        </w:rPr>
      </w:pPr>
    </w:p>
    <w:p w:rsidR="007E42CB" w:rsidRPr="00480F6A" w:rsidRDefault="007E42CB" w:rsidP="00436F81">
      <w:pPr>
        <w:ind w:firstLine="567"/>
        <w:jc w:val="right"/>
        <w:rPr>
          <w:snapToGrid w:val="0"/>
          <w:sz w:val="24"/>
          <w:szCs w:val="24"/>
        </w:rPr>
      </w:pPr>
    </w:p>
    <w:p w:rsidR="007E42CB" w:rsidRPr="00480F6A" w:rsidRDefault="007E42CB" w:rsidP="00436F81">
      <w:pPr>
        <w:ind w:firstLine="567"/>
        <w:jc w:val="right"/>
        <w:rPr>
          <w:snapToGrid w:val="0"/>
          <w:sz w:val="24"/>
          <w:szCs w:val="24"/>
        </w:rPr>
      </w:pPr>
    </w:p>
    <w:p w:rsidR="007E42CB" w:rsidRPr="00480F6A" w:rsidRDefault="007E42CB" w:rsidP="00436F81">
      <w:pPr>
        <w:ind w:firstLine="567"/>
        <w:jc w:val="right"/>
        <w:rPr>
          <w:snapToGrid w:val="0"/>
          <w:sz w:val="24"/>
          <w:szCs w:val="24"/>
        </w:rPr>
      </w:pPr>
    </w:p>
    <w:p w:rsidR="007E42CB" w:rsidRPr="00480F6A" w:rsidRDefault="007E42CB" w:rsidP="00436F81">
      <w:pPr>
        <w:ind w:firstLine="567"/>
        <w:jc w:val="right"/>
        <w:rPr>
          <w:snapToGrid w:val="0"/>
          <w:sz w:val="24"/>
          <w:szCs w:val="24"/>
        </w:rPr>
      </w:pPr>
    </w:p>
    <w:p w:rsidR="007E42CB" w:rsidRPr="00480F6A" w:rsidRDefault="007E42CB" w:rsidP="00436F81">
      <w:pPr>
        <w:ind w:firstLine="567"/>
        <w:jc w:val="right"/>
        <w:rPr>
          <w:snapToGrid w:val="0"/>
          <w:sz w:val="24"/>
          <w:szCs w:val="24"/>
        </w:rPr>
      </w:pPr>
    </w:p>
    <w:p w:rsidR="007E42CB" w:rsidRPr="00480F6A" w:rsidRDefault="007E42CB" w:rsidP="007E42CB">
      <w:pPr>
        <w:jc w:val="right"/>
        <w:rPr>
          <w:snapToGrid w:val="0"/>
          <w:sz w:val="24"/>
          <w:szCs w:val="24"/>
        </w:rPr>
      </w:pPr>
    </w:p>
    <w:p w:rsidR="007E42CB" w:rsidRPr="00480F6A" w:rsidRDefault="007E42CB" w:rsidP="007E42CB">
      <w:pPr>
        <w:jc w:val="right"/>
        <w:rPr>
          <w:snapToGrid w:val="0"/>
          <w:sz w:val="24"/>
          <w:szCs w:val="24"/>
        </w:rPr>
      </w:pPr>
    </w:p>
    <w:p w:rsidR="007E42CB" w:rsidRPr="00480F6A" w:rsidRDefault="007E42CB" w:rsidP="007E42CB">
      <w:pPr>
        <w:jc w:val="right"/>
        <w:rPr>
          <w:snapToGrid w:val="0"/>
          <w:sz w:val="24"/>
          <w:szCs w:val="24"/>
        </w:rPr>
      </w:pPr>
    </w:p>
    <w:p w:rsidR="007E42CB" w:rsidRPr="00480F6A" w:rsidRDefault="007E42CB" w:rsidP="007E42CB">
      <w:pPr>
        <w:jc w:val="right"/>
        <w:rPr>
          <w:snapToGrid w:val="0"/>
          <w:sz w:val="24"/>
          <w:szCs w:val="24"/>
        </w:rPr>
      </w:pPr>
    </w:p>
    <w:p w:rsidR="007E42CB" w:rsidRDefault="007E42CB" w:rsidP="007E42CB">
      <w:pPr>
        <w:jc w:val="right"/>
        <w:rPr>
          <w:snapToGrid w:val="0"/>
          <w:sz w:val="24"/>
          <w:szCs w:val="24"/>
        </w:rPr>
      </w:pPr>
    </w:p>
    <w:p w:rsidR="007E42CB" w:rsidRDefault="007E42CB" w:rsidP="007E42CB">
      <w:pPr>
        <w:jc w:val="right"/>
        <w:rPr>
          <w:snapToGrid w:val="0"/>
          <w:sz w:val="24"/>
          <w:szCs w:val="24"/>
        </w:rPr>
      </w:pPr>
    </w:p>
    <w:p w:rsidR="007E42CB" w:rsidRPr="00BA5B10" w:rsidRDefault="007E42CB" w:rsidP="007E42CB">
      <w:pPr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BA5B10">
        <w:rPr>
          <w:snapToGrid w:val="0"/>
          <w:sz w:val="24"/>
          <w:szCs w:val="24"/>
        </w:rPr>
        <w:lastRenderedPageBreak/>
        <w:t xml:space="preserve">Приложение </w:t>
      </w:r>
    </w:p>
    <w:p w:rsidR="007E42CB" w:rsidRPr="00BA5B10" w:rsidRDefault="007E42CB" w:rsidP="007E42CB">
      <w:pPr>
        <w:jc w:val="right"/>
        <w:rPr>
          <w:snapToGrid w:val="0"/>
          <w:sz w:val="24"/>
          <w:szCs w:val="24"/>
        </w:rPr>
      </w:pPr>
      <w:r w:rsidRPr="00BA5B10">
        <w:rPr>
          <w:snapToGrid w:val="0"/>
          <w:sz w:val="24"/>
          <w:szCs w:val="24"/>
        </w:rPr>
        <w:t xml:space="preserve">к </w:t>
      </w:r>
      <w:r w:rsidRPr="00BA5B10">
        <w:rPr>
          <w:sz w:val="24"/>
          <w:szCs w:val="24"/>
        </w:rPr>
        <w:t xml:space="preserve">Порядку </w:t>
      </w:r>
      <w:r w:rsidRPr="00BA5B10">
        <w:rPr>
          <w:snapToGrid w:val="0"/>
          <w:sz w:val="24"/>
          <w:szCs w:val="24"/>
        </w:rPr>
        <w:t>и условиям заключения инвестиционных соглашений</w:t>
      </w:r>
    </w:p>
    <w:p w:rsidR="007E42CB" w:rsidRPr="00BA5B10" w:rsidRDefault="007E42CB" w:rsidP="007E42CB">
      <w:pPr>
        <w:jc w:val="right"/>
        <w:rPr>
          <w:snapToGrid w:val="0"/>
          <w:sz w:val="24"/>
          <w:szCs w:val="24"/>
        </w:rPr>
      </w:pPr>
      <w:r w:rsidRPr="00BA5B10">
        <w:rPr>
          <w:snapToGrid w:val="0"/>
          <w:sz w:val="24"/>
          <w:szCs w:val="24"/>
        </w:rPr>
        <w:t xml:space="preserve"> по предоставлению инвесторам налоговых льгот  </w:t>
      </w:r>
    </w:p>
    <w:p w:rsidR="007E42CB" w:rsidRPr="00BA5B10" w:rsidRDefault="007E42CB" w:rsidP="007E42C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E42CB" w:rsidRPr="00480F6A" w:rsidRDefault="007E42CB" w:rsidP="007E4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F6A">
        <w:rPr>
          <w:b/>
          <w:bCs/>
          <w:sz w:val="26"/>
          <w:szCs w:val="26"/>
        </w:rPr>
        <w:t>Расчет</w:t>
      </w:r>
    </w:p>
    <w:p w:rsidR="007E42CB" w:rsidRPr="00480F6A" w:rsidRDefault="007E42CB" w:rsidP="007E4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F6A">
        <w:rPr>
          <w:b/>
          <w:bCs/>
          <w:sz w:val="26"/>
          <w:szCs w:val="26"/>
        </w:rPr>
        <w:t>окупаемости инвестиционного проекта</w:t>
      </w:r>
    </w:p>
    <w:p w:rsidR="007E42CB" w:rsidRPr="00480F6A" w:rsidRDefault="007E42CB" w:rsidP="007E42C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0F6A">
        <w:rPr>
          <w:sz w:val="24"/>
          <w:szCs w:val="24"/>
        </w:rPr>
        <w:t>тыс. руб.</w:t>
      </w:r>
    </w:p>
    <w:tbl>
      <w:tblPr>
        <w:tblW w:w="1098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80"/>
        <w:gridCol w:w="1260"/>
        <w:gridCol w:w="1260"/>
        <w:gridCol w:w="1260"/>
        <w:gridCol w:w="1260"/>
        <w:gridCol w:w="1260"/>
        <w:gridCol w:w="1260"/>
      </w:tblGrid>
      <w:tr w:rsidR="007E42CB" w:rsidRPr="00480F6A" w:rsidTr="00BA5B10">
        <w:trPr>
          <w:trHeight w:val="43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 xml:space="preserve">№ </w:t>
            </w:r>
            <w:proofErr w:type="spellStart"/>
            <w:proofErr w:type="gramStart"/>
            <w:r w:rsidRPr="00BA5B10">
              <w:rPr>
                <w:sz w:val="20"/>
              </w:rPr>
              <w:t>п</w:t>
            </w:r>
            <w:proofErr w:type="spellEnd"/>
            <w:proofErr w:type="gramEnd"/>
            <w:r w:rsidRPr="00BA5B10">
              <w:rPr>
                <w:sz w:val="20"/>
              </w:rPr>
              <w:t>/</w:t>
            </w:r>
            <w:proofErr w:type="spellStart"/>
            <w:r w:rsidRPr="00BA5B10">
              <w:rPr>
                <w:sz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Показатели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A5B10">
              <w:rPr>
                <w:sz w:val="20"/>
              </w:rPr>
              <w:t xml:space="preserve">За </w:t>
            </w:r>
            <w:proofErr w:type="spellStart"/>
            <w:r w:rsidRPr="00BA5B10">
              <w:rPr>
                <w:sz w:val="20"/>
              </w:rPr>
              <w:t>______кв</w:t>
            </w:r>
            <w:r w:rsidR="00BA5B10" w:rsidRPr="00BA5B10">
              <w:rPr>
                <w:sz w:val="20"/>
              </w:rPr>
              <w:t>артал</w:t>
            </w:r>
            <w:proofErr w:type="spellEnd"/>
          </w:p>
          <w:p w:rsidR="007E42CB" w:rsidRPr="00BA5B10" w:rsidRDefault="007E42CB" w:rsidP="00BA5B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_______ года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Нарастающим итогом</w:t>
            </w:r>
          </w:p>
        </w:tc>
      </w:tr>
      <w:tr w:rsidR="007E42CB" w:rsidRPr="00480F6A" w:rsidTr="00BA5B10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с начала _____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с момента осуществления первых затрат по проекту</w:t>
            </w:r>
          </w:p>
        </w:tc>
      </w:tr>
      <w:tr w:rsidR="007E42CB" w:rsidRPr="00480F6A" w:rsidTr="00BA5B10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без учета налоговых  льгот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с учетом налоговых  льгот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без учета налоговых  льгот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с учетом налоговых  льгот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без учета налоговых  льгот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A5B10">
              <w:rPr>
                <w:sz w:val="20"/>
              </w:rPr>
              <w:t>с учетом налоговых  льгот</w:t>
            </w: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Выручка, полученная от       </w:t>
            </w:r>
            <w:r w:rsidRPr="00BA5B10">
              <w:rPr>
                <w:sz w:val="20"/>
              </w:rPr>
              <w:br/>
              <w:t xml:space="preserve">реализации продукции (работ, </w:t>
            </w:r>
            <w:r w:rsidRPr="00BA5B10">
              <w:rPr>
                <w:sz w:val="20"/>
              </w:rPr>
              <w:br/>
              <w:t>услуг) в рамках</w:t>
            </w:r>
            <w:r w:rsidR="00BA5B10">
              <w:rPr>
                <w:sz w:val="20"/>
              </w:rPr>
              <w:t xml:space="preserve"> </w:t>
            </w:r>
            <w:proofErr w:type="spellStart"/>
            <w:proofErr w:type="gramStart"/>
            <w:r w:rsidRPr="00BA5B10">
              <w:rPr>
                <w:sz w:val="20"/>
              </w:rPr>
              <w:t>инвестицион</w:t>
            </w:r>
            <w:r w:rsidR="00BA5B10">
              <w:rPr>
                <w:sz w:val="20"/>
              </w:rPr>
              <w:t>-</w:t>
            </w:r>
            <w:r w:rsidRPr="00BA5B10">
              <w:rPr>
                <w:sz w:val="20"/>
              </w:rPr>
              <w:t>ного</w:t>
            </w:r>
            <w:proofErr w:type="spellEnd"/>
            <w:proofErr w:type="gramEnd"/>
            <w:r w:rsidRPr="00BA5B10">
              <w:rPr>
                <w:sz w:val="20"/>
              </w:rPr>
              <w:t xml:space="preserve"> проекта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1431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>Налоги к уплате (зачету)</w:t>
            </w:r>
            <w:r w:rsidR="001431FA">
              <w:rPr>
                <w:sz w:val="20"/>
              </w:rPr>
              <w:t xml:space="preserve"> –</w:t>
            </w:r>
            <w:r w:rsidRPr="00BA5B10">
              <w:rPr>
                <w:sz w:val="20"/>
              </w:rPr>
              <w:t xml:space="preserve"> всего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10" w:rsidRDefault="007E42CB" w:rsidP="00BA5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>в т</w:t>
            </w:r>
            <w:r w:rsidR="00BA5B10">
              <w:rPr>
                <w:sz w:val="20"/>
              </w:rPr>
              <w:t>ом числе</w:t>
            </w:r>
          </w:p>
          <w:p w:rsidR="007E42CB" w:rsidRPr="00BA5B10" w:rsidRDefault="007E42CB" w:rsidP="00BA5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налог на прибыль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налог на имущество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>НДС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>НДФЛ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страховые платежи в </w:t>
            </w:r>
            <w:proofErr w:type="spellStart"/>
            <w:proofErr w:type="gramStart"/>
            <w:r w:rsidRPr="00BA5B10">
              <w:rPr>
                <w:sz w:val="20"/>
              </w:rPr>
              <w:t>государ</w:t>
            </w:r>
            <w:r w:rsidR="00BA5B10">
              <w:rPr>
                <w:sz w:val="20"/>
              </w:rPr>
              <w:t>-</w:t>
            </w:r>
            <w:r w:rsidRPr="00BA5B10">
              <w:rPr>
                <w:sz w:val="20"/>
              </w:rPr>
              <w:t>ственные</w:t>
            </w:r>
            <w:proofErr w:type="spellEnd"/>
            <w:proofErr w:type="gramEnd"/>
            <w:r w:rsidRPr="00BA5B10">
              <w:rPr>
                <w:sz w:val="20"/>
              </w:rPr>
              <w:t xml:space="preserve"> внебюджетные фонды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Сумма чистой прибыли в целом от </w:t>
            </w:r>
            <w:proofErr w:type="spellStart"/>
            <w:proofErr w:type="gramStart"/>
            <w:r w:rsidRPr="00BA5B10">
              <w:rPr>
                <w:sz w:val="20"/>
              </w:rPr>
              <w:t>финансово-хозяй</w:t>
            </w:r>
            <w:r w:rsidR="00BA5B10">
              <w:rPr>
                <w:sz w:val="20"/>
              </w:rPr>
              <w:t>-</w:t>
            </w:r>
            <w:r w:rsidRPr="00BA5B10">
              <w:rPr>
                <w:sz w:val="20"/>
              </w:rPr>
              <w:t>ственной</w:t>
            </w:r>
            <w:proofErr w:type="spellEnd"/>
            <w:proofErr w:type="gramEnd"/>
            <w:r w:rsidRPr="00BA5B10">
              <w:rPr>
                <w:sz w:val="20"/>
              </w:rPr>
              <w:t xml:space="preserve">   деятельности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4.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Стоимость основных средств,  </w:t>
            </w:r>
            <w:r w:rsidRPr="00BA5B10">
              <w:rPr>
                <w:sz w:val="20"/>
              </w:rPr>
              <w:br/>
              <w:t xml:space="preserve">созданных или приобретенных  </w:t>
            </w:r>
            <w:r w:rsidRPr="00BA5B10">
              <w:rPr>
                <w:sz w:val="20"/>
              </w:rPr>
              <w:br/>
              <w:t xml:space="preserve">в рамках инвестиционного     </w:t>
            </w:r>
            <w:r w:rsidRPr="00BA5B10">
              <w:rPr>
                <w:sz w:val="20"/>
              </w:rPr>
              <w:br/>
              <w:t xml:space="preserve">проекта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5.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BA5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Сумма начисленной </w:t>
            </w:r>
            <w:proofErr w:type="spellStart"/>
            <w:proofErr w:type="gramStart"/>
            <w:r w:rsidRPr="00BA5B10">
              <w:rPr>
                <w:sz w:val="20"/>
              </w:rPr>
              <w:t>аморти</w:t>
            </w:r>
            <w:r w:rsidR="00BA5B10">
              <w:rPr>
                <w:sz w:val="20"/>
              </w:rPr>
              <w:t>-</w:t>
            </w:r>
            <w:r w:rsidRPr="00BA5B10">
              <w:rPr>
                <w:sz w:val="20"/>
              </w:rPr>
              <w:t>зации</w:t>
            </w:r>
            <w:proofErr w:type="spellEnd"/>
            <w:proofErr w:type="gramEnd"/>
            <w:r w:rsidR="00BA5B10">
              <w:rPr>
                <w:sz w:val="20"/>
              </w:rPr>
              <w:t xml:space="preserve"> </w:t>
            </w:r>
            <w:r w:rsidRPr="00BA5B10">
              <w:rPr>
                <w:sz w:val="20"/>
              </w:rPr>
              <w:t xml:space="preserve">по основным средствам,       </w:t>
            </w:r>
            <w:r w:rsidRPr="00BA5B10">
              <w:rPr>
                <w:sz w:val="20"/>
              </w:rPr>
              <w:br/>
              <w:t xml:space="preserve">созданным или приобретенным  </w:t>
            </w:r>
            <w:r w:rsidRPr="00BA5B10">
              <w:rPr>
                <w:sz w:val="20"/>
              </w:rPr>
              <w:br/>
              <w:t xml:space="preserve">в рамках инвестиционного     </w:t>
            </w:r>
            <w:r w:rsidRPr="00BA5B10">
              <w:rPr>
                <w:sz w:val="20"/>
              </w:rPr>
              <w:br/>
              <w:t xml:space="preserve">проекта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E42CB" w:rsidRPr="00480F6A" w:rsidTr="007928E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 xml:space="preserve"> 6.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A5B10">
              <w:rPr>
                <w:sz w:val="20"/>
              </w:rPr>
              <w:t>Расчет окупаемости инвестиций</w:t>
            </w:r>
            <w:r w:rsidRPr="00BA5B10">
              <w:rPr>
                <w:sz w:val="20"/>
              </w:rPr>
              <w:br/>
              <w:t xml:space="preserve">(стр. 3 + стр. 5 - стр. 4)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CB" w:rsidRPr="00BA5B10" w:rsidRDefault="007E42CB" w:rsidP="007928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A5B10" w:rsidRDefault="00BA5B10" w:rsidP="007E42C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7E42CB" w:rsidRPr="00BA5B10" w:rsidRDefault="007E42CB" w:rsidP="007E42C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A5B10">
        <w:rPr>
          <w:bCs/>
          <w:sz w:val="24"/>
          <w:szCs w:val="24"/>
        </w:rPr>
        <w:t>Выводы: 1. По результатам представленной отчетности проект достиг (не достиг) окупаемости.</w:t>
      </w:r>
    </w:p>
    <w:p w:rsidR="007E42CB" w:rsidRPr="00BA5B10" w:rsidRDefault="007E42CB" w:rsidP="007E42C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A5B10">
        <w:rPr>
          <w:bCs/>
          <w:sz w:val="24"/>
          <w:szCs w:val="24"/>
        </w:rPr>
        <w:t xml:space="preserve">                2. Сумма льгот за отчетный период составила:</w:t>
      </w:r>
    </w:p>
    <w:p w:rsidR="007E42CB" w:rsidRPr="00BA5B10" w:rsidRDefault="007E42CB" w:rsidP="007E42C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A5B10">
        <w:rPr>
          <w:bCs/>
          <w:sz w:val="24"/>
          <w:szCs w:val="24"/>
        </w:rPr>
        <w:t xml:space="preserve">                по налогу на прибыль ________________ тыс. руб.;</w:t>
      </w:r>
    </w:p>
    <w:p w:rsidR="007E42CB" w:rsidRPr="00BA5B10" w:rsidRDefault="007E42CB" w:rsidP="007E42CB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BA5B10">
        <w:rPr>
          <w:bCs/>
          <w:sz w:val="24"/>
          <w:szCs w:val="24"/>
        </w:rPr>
        <w:t xml:space="preserve">                по налогу на имущество ________________ тыс. руб.</w:t>
      </w:r>
    </w:p>
    <w:p w:rsidR="00653398" w:rsidRDefault="00653398" w:rsidP="00BA52E2">
      <w:pPr>
        <w:ind w:left="-142"/>
        <w:rPr>
          <w:sz w:val="24"/>
          <w:szCs w:val="24"/>
        </w:rPr>
      </w:pPr>
    </w:p>
    <w:p w:rsidR="00BA5B10" w:rsidRDefault="00BA5B10" w:rsidP="00BA52E2">
      <w:pPr>
        <w:ind w:left="-142"/>
        <w:rPr>
          <w:sz w:val="24"/>
          <w:szCs w:val="24"/>
        </w:rPr>
      </w:pPr>
    </w:p>
    <w:p w:rsidR="00BA5B10" w:rsidRDefault="00BA5B10" w:rsidP="00BA52E2">
      <w:pPr>
        <w:ind w:left="-142"/>
        <w:rPr>
          <w:sz w:val="24"/>
          <w:szCs w:val="24"/>
        </w:rPr>
      </w:pPr>
    </w:p>
    <w:p w:rsidR="00BA5B10" w:rsidRDefault="00BA5B10" w:rsidP="00BA52E2">
      <w:pPr>
        <w:ind w:left="-142"/>
        <w:rPr>
          <w:sz w:val="24"/>
          <w:szCs w:val="24"/>
        </w:rPr>
      </w:pPr>
    </w:p>
    <w:p w:rsidR="00BA5B10" w:rsidRPr="00BA5B10" w:rsidRDefault="00BA5B10" w:rsidP="00BA5B10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BA5B10" w:rsidRPr="00BA5B10" w:rsidSect="005E11F8">
      <w:footerReference w:type="even" r:id="rId14"/>
      <w:footerReference w:type="default" r:id="rId15"/>
      <w:pgSz w:w="11906" w:h="16838" w:code="9"/>
      <w:pgMar w:top="1134" w:right="707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5E" w:rsidRDefault="0076365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5E" w:rsidRDefault="0076365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5E" w:rsidRDefault="0076365E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0B" w:rsidRDefault="003D19C4" w:rsidP="00030ABB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5B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360B" w:rsidRDefault="003D5E6E" w:rsidP="00030ABB">
    <w:pPr>
      <w:pStyle w:val="af2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0B" w:rsidRDefault="003D5E6E" w:rsidP="00030AB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5E" w:rsidRDefault="007636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5E" w:rsidRDefault="007636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431FA"/>
    <w:rsid w:val="001605B0"/>
    <w:rsid w:val="00195D34"/>
    <w:rsid w:val="001F4355"/>
    <w:rsid w:val="00265050"/>
    <w:rsid w:val="002A6B23"/>
    <w:rsid w:val="00307849"/>
    <w:rsid w:val="003970D7"/>
    <w:rsid w:val="003C4D42"/>
    <w:rsid w:val="003D19C4"/>
    <w:rsid w:val="003D5E6E"/>
    <w:rsid w:val="003E6EA6"/>
    <w:rsid w:val="00436F81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1F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6365E"/>
    <w:rsid w:val="007771A7"/>
    <w:rsid w:val="007C2C1F"/>
    <w:rsid w:val="007C7486"/>
    <w:rsid w:val="007E42CB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0FEF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A5B10"/>
    <w:rsid w:val="00BB2941"/>
    <w:rsid w:val="00BD2EB2"/>
    <w:rsid w:val="00C0029F"/>
    <w:rsid w:val="00C24172"/>
    <w:rsid w:val="00C26937"/>
    <w:rsid w:val="00C311EB"/>
    <w:rsid w:val="00C742D0"/>
    <w:rsid w:val="00C92BA5"/>
    <w:rsid w:val="00C97F75"/>
    <w:rsid w:val="00CB3FDE"/>
    <w:rsid w:val="00CC1D45"/>
    <w:rsid w:val="00CE0D98"/>
    <w:rsid w:val="00CF001D"/>
    <w:rsid w:val="00CF5812"/>
    <w:rsid w:val="00D22F40"/>
    <w:rsid w:val="00D354B8"/>
    <w:rsid w:val="00D53035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E42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7E42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1523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10</cp:revision>
  <cp:lastPrinted>2013-09-30T11:08:00Z</cp:lastPrinted>
  <dcterms:created xsi:type="dcterms:W3CDTF">2013-09-30T07:05:00Z</dcterms:created>
  <dcterms:modified xsi:type="dcterms:W3CDTF">2013-10-14T06:22:00Z</dcterms:modified>
</cp:coreProperties>
</file>