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1B06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161B06">
        <w:t>21 июля 2014 года № 454р-П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846476">
        <w:rPr>
          <w:szCs w:val="28"/>
        </w:rPr>
        <w:t>администрации Прионежского муниципального района в</w:t>
      </w:r>
      <w:r>
        <w:rPr>
          <w:szCs w:val="28"/>
        </w:rPr>
        <w:t xml:space="preserve"> переводе земельного участка, имеющего кадастровый номер 10:20:001551</w:t>
      </w:r>
      <w:r w:rsidR="00846476">
        <w:rPr>
          <w:szCs w:val="28"/>
        </w:rPr>
        <w:t>1</w:t>
      </w:r>
      <w:r w:rsidR="00034D8F">
        <w:rPr>
          <w:szCs w:val="28"/>
        </w:rPr>
        <w:t>:</w:t>
      </w:r>
      <w:r w:rsidR="00846476">
        <w:rPr>
          <w:szCs w:val="28"/>
        </w:rPr>
        <w:t>256</w:t>
      </w:r>
      <w:r>
        <w:rPr>
          <w:szCs w:val="28"/>
        </w:rPr>
        <w:t xml:space="preserve">,  площадью </w:t>
      </w:r>
      <w:r w:rsidR="00846476">
        <w:rPr>
          <w:szCs w:val="28"/>
        </w:rPr>
        <w:t>727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846476">
        <w:rPr>
          <w:szCs w:val="28"/>
        </w:rPr>
        <w:t>в районе СНТ «Верховье-2»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846476">
        <w:rPr>
          <w:szCs w:val="28"/>
        </w:rPr>
        <w:t>несоответствием испрашиваемого целевого назначения земельного участка генеральному плану</w:t>
      </w:r>
      <w:r w:rsidR="00452F5E">
        <w:rPr>
          <w:szCs w:val="28"/>
        </w:rPr>
        <w:t xml:space="preserve"> Шуйского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1B06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6476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8875-2F0D-49F5-8C77-E3DC0DE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2014-07-17T10:27:00Z</cp:lastPrinted>
  <dcterms:created xsi:type="dcterms:W3CDTF">2014-07-17T10:29:00Z</dcterms:created>
  <dcterms:modified xsi:type="dcterms:W3CDTF">2014-07-21T07:35:00Z</dcterms:modified>
</cp:coreProperties>
</file>