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453C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E22C7B8" wp14:editId="4754CE76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BE55BC" w:rsidP="00BE5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на 2015 год запрета на привлечение иностранных граждан, осуществляющих деятельность на основании патентов, по отдельным видам экономической деятельности</w:t>
      </w:r>
    </w:p>
    <w:p w:rsidR="00BE55BC" w:rsidRDefault="00BE55BC" w:rsidP="00BE55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55BC" w:rsidRDefault="00BE55BC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5BC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со статьей 18.1 Федерального закона от 25 июля </w:t>
      </w:r>
      <w:r>
        <w:rPr>
          <w:sz w:val="28"/>
          <w:szCs w:val="28"/>
        </w:rPr>
        <w:br/>
        <w:t xml:space="preserve">2002 года № 115-ФЗ «О правовом положении иностранных граждан </w:t>
      </w:r>
      <w:r w:rsidR="00591739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 </w:t>
      </w:r>
      <w:proofErr w:type="gramStart"/>
      <w:r w:rsidRPr="00BE55BC">
        <w:rPr>
          <w:b/>
          <w:sz w:val="28"/>
          <w:szCs w:val="28"/>
        </w:rPr>
        <w:t>п</w:t>
      </w:r>
      <w:proofErr w:type="gramEnd"/>
      <w:r w:rsidRPr="00BE55BC">
        <w:rPr>
          <w:b/>
          <w:sz w:val="28"/>
          <w:szCs w:val="28"/>
        </w:rPr>
        <w:t xml:space="preserve"> о с т а н о в л я</w:t>
      </w:r>
      <w:r>
        <w:rPr>
          <w:b/>
          <w:sz w:val="28"/>
          <w:szCs w:val="28"/>
        </w:rPr>
        <w:t xml:space="preserve"> </w:t>
      </w:r>
      <w:r w:rsidRPr="00BE55BC">
        <w:rPr>
          <w:b/>
          <w:sz w:val="28"/>
          <w:szCs w:val="28"/>
        </w:rPr>
        <w:t>ю:</w:t>
      </w:r>
      <w:r>
        <w:rPr>
          <w:sz w:val="28"/>
          <w:szCs w:val="28"/>
        </w:rPr>
        <w:t xml:space="preserve"> </w:t>
      </w:r>
    </w:p>
    <w:p w:rsidR="00591739" w:rsidRDefault="00BE55BC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2015 год запрет на привлечение хозяйствующими субъектами, осуществляющими деятельность на территории Республики Карелия,</w:t>
      </w:r>
      <w:r w:rsidR="00591739">
        <w:rPr>
          <w:sz w:val="28"/>
          <w:szCs w:val="28"/>
        </w:rPr>
        <w:t xml:space="preserve"> иностранных граждан, осуществляющих трудовую деятельность на основании патентов, по следующим видам экономической деятельности, предусмотренным Общероссийским классификатором видов экономической деятельности:</w:t>
      </w:r>
    </w:p>
    <w:p w:rsidR="00BE55BC" w:rsidRDefault="00591739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розничная торговля алкогольными напитками, включая пиво </w:t>
      </w:r>
      <w:r>
        <w:rPr>
          <w:sz w:val="28"/>
          <w:szCs w:val="28"/>
        </w:rPr>
        <w:br/>
        <w:t>(код</w:t>
      </w:r>
      <w:r w:rsidR="00BE55BC">
        <w:rPr>
          <w:sz w:val="28"/>
          <w:szCs w:val="28"/>
        </w:rPr>
        <w:t xml:space="preserve"> </w:t>
      </w:r>
      <w:r>
        <w:rPr>
          <w:sz w:val="28"/>
          <w:szCs w:val="28"/>
        </w:rPr>
        <w:t>52.25.1);</w:t>
      </w:r>
    </w:p>
    <w:p w:rsidR="00591739" w:rsidRDefault="00591739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фармацевтическими товарами (код 52.31);</w:t>
      </w:r>
    </w:p>
    <w:p w:rsidR="00591739" w:rsidRDefault="00591739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розничная торговля в палатках и на рынках (код 52.62);</w:t>
      </w:r>
    </w:p>
    <w:p w:rsidR="00591739" w:rsidRDefault="00591739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прочая розничная торговля вне магазинов (код 52.63).</w:t>
      </w:r>
    </w:p>
    <w:p w:rsidR="00591739" w:rsidRDefault="00591739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Хозяйствующим субъектам, указанным в пункте 1 настоящего Указа, до 1 марта 2015 года привести численность используемых иност</w:t>
      </w:r>
      <w:r w:rsidR="000D7B4A">
        <w:rPr>
          <w:sz w:val="28"/>
          <w:szCs w:val="28"/>
        </w:rPr>
        <w:t>ранных работников в соответствие</w:t>
      </w:r>
      <w:r>
        <w:rPr>
          <w:sz w:val="28"/>
          <w:szCs w:val="28"/>
        </w:rPr>
        <w:t xml:space="preserve"> с настоящим Указом.</w:t>
      </w:r>
    </w:p>
    <w:p w:rsidR="00591739" w:rsidRPr="00BE55BC" w:rsidRDefault="00591739" w:rsidP="00BE55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 1 января 2015 года.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453C6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AC7097">
        <w:rPr>
          <w:sz w:val="28"/>
          <w:szCs w:val="28"/>
        </w:rPr>
        <w:t xml:space="preserve">декабря </w:t>
      </w:r>
      <w:r w:rsidR="00E42113">
        <w:rPr>
          <w:sz w:val="28"/>
          <w:szCs w:val="28"/>
        </w:rPr>
        <w:t xml:space="preserve">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453C6">
        <w:rPr>
          <w:sz w:val="28"/>
          <w:szCs w:val="28"/>
        </w:rPr>
        <w:t xml:space="preserve"> 111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D7B4A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91739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453C6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55BC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2014-12-26T07:56:00Z</cp:lastPrinted>
  <dcterms:created xsi:type="dcterms:W3CDTF">2014-12-26T06:26:00Z</dcterms:created>
  <dcterms:modified xsi:type="dcterms:W3CDTF">2014-12-29T08:41:00Z</dcterms:modified>
</cp:coreProperties>
</file>