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0" w:after="0"/>
        <w:jc w:val="right"/>
        <w:outlineLvl w:val="0"/>
        <w:rPr>
          <w:rFonts w:cs="Times New Roman" w:ascii="Times New Roman" w:hAnsi="Times New Roman"/>
          <w:sz w:val="28"/>
          <w:szCs w:val="28"/>
        </w:rPr>
      </w:pPr>
      <w:r>
        <w:rPr>
          <w:rFonts w:cs="Times New Roman" w:ascii="Times New Roman" w:hAnsi="Times New Roman"/>
          <w:sz w:val="28"/>
          <w:szCs w:val="28"/>
        </w:rPr>
        <w:t>ПРОЕКТ</w:t>
      </w:r>
    </w:p>
    <w:p>
      <w:pPr>
        <w:pStyle w:val="Normal"/>
        <w:widowControl w:val="false"/>
        <w:spacing w:lineRule="auto" w:line="240" w:before="0" w:after="0"/>
        <w:jc w:val="both"/>
        <w:outlineLvl w:val="0"/>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jc w:val="center"/>
        <w:rPr>
          <w:rFonts w:cs="Times New Roman" w:ascii="Times New Roman" w:hAnsi="Times New Roman"/>
          <w:b/>
          <w:bCs/>
          <w:sz w:val="28"/>
          <w:szCs w:val="28"/>
        </w:rPr>
      </w:pPr>
      <w:bookmarkStart w:id="0" w:name="Par1"/>
      <w:bookmarkEnd w:id="0"/>
      <w:r>
        <w:rPr>
          <w:rFonts w:cs="Times New Roman" w:ascii="Times New Roman" w:hAnsi="Times New Roman"/>
          <w:b/>
          <w:bCs/>
          <w:sz w:val="28"/>
          <w:szCs w:val="28"/>
        </w:rPr>
        <w:t>ПРАВИТЕЛЬСТВО РЕСПУБЛИКИ КАРЕЛИЯ</w:t>
      </w:r>
    </w:p>
    <w:p>
      <w:pPr>
        <w:pStyle w:val="Normal"/>
        <w:spacing w:lineRule="auto" w:line="240" w:before="0" w:after="0"/>
        <w:jc w:val="center"/>
        <w:outlineLvl w:val="0"/>
        <w:rPr>
          <w:rFonts w:cs="Times New Roman" w:ascii="Times New Roman" w:hAnsi="Times New Roman"/>
          <w:b/>
          <w:bCs/>
          <w:sz w:val="28"/>
          <w:szCs w:val="28"/>
        </w:rPr>
      </w:pPr>
      <w:r>
        <w:rPr>
          <w:rFonts w:cs="Times New Roman" w:ascii="Times New Roman" w:hAnsi="Times New Roman"/>
          <w:b/>
          <w:bCs/>
          <w:sz w:val="28"/>
          <w:szCs w:val="28"/>
        </w:rPr>
      </w:r>
    </w:p>
    <w:p>
      <w:pPr>
        <w:pStyle w:val="Normal"/>
        <w:spacing w:lineRule="auto" w:line="240" w:before="0" w:after="0"/>
        <w:jc w:val="center"/>
        <w:rPr>
          <w:rFonts w:cs="Times New Roman" w:ascii="Times New Roman" w:hAnsi="Times New Roman"/>
          <w:b/>
          <w:bCs/>
          <w:sz w:val="28"/>
          <w:szCs w:val="28"/>
        </w:rPr>
      </w:pPr>
      <w:r>
        <w:rPr>
          <w:rFonts w:cs="Times New Roman" w:ascii="Times New Roman" w:hAnsi="Times New Roman"/>
          <w:b/>
          <w:bCs/>
          <w:sz w:val="28"/>
          <w:szCs w:val="28"/>
        </w:rPr>
        <w:t>ПОСТАНОВЛЕНИЕ</w:t>
      </w:r>
    </w:p>
    <w:p>
      <w:pPr>
        <w:pStyle w:val="ConsPlusTitle"/>
        <w:widowControl/>
        <w:jc w:val="center"/>
        <w:rPr>
          <w:b w:val="false"/>
          <w:sz w:val="28"/>
          <w:szCs w:val="28"/>
        </w:rPr>
      </w:pPr>
      <w:r>
        <w:rPr>
          <w:b w:val="false"/>
          <w:sz w:val="28"/>
          <w:szCs w:val="28"/>
        </w:rPr>
        <w:t>от ____   _________ 2014 г. № _______</w:t>
      </w:r>
    </w:p>
    <w:p>
      <w:pPr>
        <w:pStyle w:val="Normal"/>
        <w:spacing w:lineRule="auto" w:line="240" w:before="0" w:after="0"/>
        <w:jc w:val="center"/>
        <w:rPr>
          <w:rFonts w:cs="Times New Roman" w:ascii="Times New Roman" w:hAnsi="Times New Roman"/>
          <w:b/>
          <w:bCs/>
          <w:sz w:val="28"/>
          <w:szCs w:val="28"/>
        </w:rPr>
      </w:pPr>
      <w:r>
        <w:rPr>
          <w:rFonts w:cs="Times New Roman" w:ascii="Times New Roman" w:hAnsi="Times New Roman"/>
          <w:b/>
          <w:bCs/>
          <w:sz w:val="28"/>
          <w:szCs w:val="28"/>
        </w:rPr>
      </w:r>
    </w:p>
    <w:p>
      <w:pPr>
        <w:pStyle w:val="Normal"/>
        <w:spacing w:lineRule="auto" w:line="240" w:before="0" w:after="0"/>
        <w:jc w:val="center"/>
        <w:rPr>
          <w:rFonts w:cs="Times New Roman" w:ascii="Times New Roman" w:hAnsi="Times New Roman"/>
          <w:b/>
          <w:bCs/>
          <w:sz w:val="28"/>
          <w:szCs w:val="28"/>
        </w:rPr>
      </w:pPr>
      <w:r>
        <w:rPr>
          <w:rFonts w:cs="Times New Roman" w:ascii="Times New Roman" w:hAnsi="Times New Roman"/>
          <w:b/>
          <w:bCs/>
          <w:sz w:val="28"/>
          <w:szCs w:val="28"/>
        </w:rPr>
        <w:t>О внесении изменений</w:t>
      </w:r>
      <w:bookmarkStart w:id="1" w:name="_GoBack"/>
      <w:bookmarkEnd w:id="1"/>
      <w:r>
        <w:rPr>
          <w:rFonts w:cs="Times New Roman" w:ascii="Times New Roman" w:hAnsi="Times New Roman"/>
          <w:b/>
          <w:bCs/>
          <w:sz w:val="28"/>
          <w:szCs w:val="28"/>
        </w:rPr>
        <w:t xml:space="preserve"> в постановление Правительства</w:t>
      </w:r>
    </w:p>
    <w:p>
      <w:pPr>
        <w:pStyle w:val="Normal"/>
        <w:spacing w:lineRule="auto" w:line="240" w:before="0" w:after="0"/>
        <w:jc w:val="center"/>
        <w:rPr>
          <w:rFonts w:cs="Times New Roman" w:ascii="Times New Roman" w:hAnsi="Times New Roman"/>
          <w:b/>
          <w:bCs/>
          <w:sz w:val="28"/>
          <w:szCs w:val="28"/>
        </w:rPr>
      </w:pPr>
      <w:r>
        <w:rPr>
          <w:rFonts w:cs="Times New Roman" w:ascii="Times New Roman" w:hAnsi="Times New Roman"/>
          <w:b/>
          <w:bCs/>
          <w:sz w:val="28"/>
          <w:szCs w:val="28"/>
        </w:rPr>
        <w:t>Республики Карелия от 20 января 2012 года № 14-П</w:t>
      </w:r>
    </w:p>
    <w:p>
      <w:pPr>
        <w:pStyle w:val="Normal"/>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Правительство Республики Карелия постановляет:</w:t>
      </w:r>
    </w:p>
    <w:p>
      <w:pPr>
        <w:pStyle w:val="ListParagraph"/>
        <w:tabs>
          <w:tab w:val="left" w:pos="993" w:leader="none"/>
        </w:tabs>
        <w:spacing w:lineRule="auto" w:line="240" w:before="0" w:after="0"/>
        <w:ind w:left="0" w:right="0" w:firstLine="540"/>
        <w:contextualSpacing/>
        <w:jc w:val="both"/>
        <w:rPr>
          <w:rFonts w:cs="Times New Roman" w:ascii="Times New Roman" w:hAnsi="Times New Roman"/>
          <w:sz w:val="28"/>
          <w:szCs w:val="28"/>
        </w:rPr>
      </w:pPr>
      <w:r>
        <w:rPr>
          <w:rFonts w:cs="Times New Roman" w:ascii="Times New Roman" w:hAnsi="Times New Roman"/>
          <w:sz w:val="28"/>
          <w:szCs w:val="28"/>
        </w:rPr>
        <w:t>Внести в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утвержденный постановлением Правительства Республики Карелия от 20 января 2012 года № 14-П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 (далее - Порядок) (Собрание законодательства Республики Карелия, 2012, № 1, ст. 73; 2013, №4, ст. 626; Карелия, 2014, 24 июня), следующие изменения:</w:t>
      </w:r>
    </w:p>
    <w:p>
      <w:pPr>
        <w:pStyle w:val="ListParagraph"/>
        <w:numPr>
          <w:ilvl w:val="0"/>
          <w:numId w:val="1"/>
        </w:numPr>
        <w:tabs>
          <w:tab w:val="left" w:pos="993" w:leader="none"/>
        </w:tabs>
        <w:spacing w:lineRule="auto" w:line="240" w:before="0" w:after="0"/>
        <w:ind w:left="0" w:right="0" w:hanging="360"/>
        <w:contextualSpacing/>
        <w:jc w:val="both"/>
        <w:outlineLvl w:val="0"/>
        <w:rPr>
          <w:rFonts w:cs="Times New Roman" w:ascii="Times New Roman" w:hAnsi="Times New Roman"/>
          <w:sz w:val="28"/>
          <w:szCs w:val="28"/>
        </w:rPr>
      </w:pPr>
      <w:r>
        <w:rPr>
          <w:rFonts w:cs="Times New Roman" w:ascii="Times New Roman" w:hAnsi="Times New Roman"/>
          <w:sz w:val="28"/>
          <w:szCs w:val="28"/>
        </w:rPr>
        <w:t>пункт 5.2. раздела II Порядка изложить в следующей редакции:</w:t>
      </w:r>
    </w:p>
    <w:p>
      <w:pPr>
        <w:pStyle w:val="Normal"/>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«5.2. Порядок определения размера платы за оказание платной необходимой и обязательной услуги (определение цены), включая расчет экономически обоснованных затрат (далее - затраты).</w:t>
      </w:r>
    </w:p>
    <w:p>
      <w:pPr>
        <w:pStyle w:val="Normal"/>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Затраты подведомственных организаций делятся на затраты, непосредственно связанные с оказанием платной услуги, и затраты, необходимые для обеспечения деятельности организации в целом, которые учитываются при определении размера платы за оказание необходимой и обязательной услуги.</w:t>
      </w:r>
    </w:p>
    <w:p>
      <w:pPr>
        <w:pStyle w:val="Normal"/>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К затратам, непосредственно связанным с оказанием платной услуги, относятся:</w:t>
      </w:r>
    </w:p>
    <w:p>
      <w:pPr>
        <w:pStyle w:val="Normal"/>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затраты на персонал, непосредственно участвующий в процессе оказания платной услуги (далее - основной персонал);</w:t>
      </w:r>
    </w:p>
    <w:p>
      <w:pPr>
        <w:pStyle w:val="Normal"/>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материальные затраты;</w:t>
      </w:r>
    </w:p>
    <w:p>
      <w:pPr>
        <w:pStyle w:val="Normal"/>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амортизация оборудования, используемого в процессе оказания платной услуги;</w:t>
      </w:r>
    </w:p>
    <w:p>
      <w:pPr>
        <w:pStyle w:val="Normal"/>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прочие расходы, отражающие специфику оказания платной услуги.</w:t>
      </w:r>
    </w:p>
    <w:p>
      <w:pPr>
        <w:sectPr>
          <w:headerReference w:type="default" r:id="rId2"/>
          <w:type w:val="nextPage"/>
          <w:pgSz w:w="11906" w:h="16838"/>
          <w:pgMar w:left="1701" w:right="851" w:header="709" w:top="1247" w:footer="0" w:bottom="1134" w:gutter="0"/>
          <w:pgNumType w:fmt="decimal"/>
          <w:formProt w:val="false"/>
          <w:titlePg/>
          <w:textDirection w:val="lrTb"/>
          <w:docGrid w:type="default" w:linePitch="360" w:charSpace="4294965247"/>
        </w:sectPr>
        <w:pStyle w:val="Normal"/>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К затратам, необходимым для обеспечения деятельности организации в целом, которые учитываются при определении размера платы за оказание необходимой и обязательной услуги, относятся затраты общехозяйственного назначения в соответствии с приложением к Порядку.</w:t>
      </w:r>
    </w:p>
    <w:p>
      <w:pPr>
        <w:pStyle w:val="Normal"/>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Метод расчета затрат на оказание платной услуги приведен в приложении к Порядку.»;</w:t>
      </w:r>
    </w:p>
    <w:p>
      <w:pPr>
        <w:pStyle w:val="ListParagraph"/>
        <w:numPr>
          <w:ilvl w:val="0"/>
          <w:numId w:val="1"/>
        </w:numPr>
        <w:tabs>
          <w:tab w:val="left" w:pos="993" w:leader="none"/>
        </w:tabs>
        <w:spacing w:lineRule="auto" w:line="240" w:before="0" w:after="0"/>
        <w:contextualSpacing/>
        <w:jc w:val="both"/>
        <w:rPr>
          <w:rFonts w:cs="Times New Roman" w:ascii="Times New Roman" w:hAnsi="Times New Roman"/>
          <w:sz w:val="28"/>
          <w:szCs w:val="28"/>
        </w:rPr>
      </w:pPr>
      <w:r>
        <w:rPr>
          <w:rFonts w:cs="Times New Roman" w:ascii="Times New Roman" w:hAnsi="Times New Roman"/>
          <w:sz w:val="28"/>
          <w:szCs w:val="28"/>
        </w:rPr>
        <w:t>Приложение к Порядку изложить в следующей редакции:</w:t>
      </w:r>
    </w:p>
    <w:p>
      <w:pPr>
        <w:pStyle w:val="ListParagraph"/>
        <w:tabs>
          <w:tab w:val="left" w:pos="993" w:leader="none"/>
        </w:tabs>
        <w:spacing w:lineRule="auto" w:line="240" w:before="0" w:after="0"/>
        <w:ind w:left="567" w:right="0" w:hanging="0"/>
        <w:contextualSpacing/>
        <w:jc w:val="both"/>
        <w:outlineLvl w:val="0"/>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cs="Times New Roman" w:ascii="Times New Roman" w:hAnsi="Times New Roman"/>
          <w:sz w:val="28"/>
          <w:szCs w:val="28"/>
        </w:rPr>
      </w:pPr>
      <w:bookmarkStart w:id="2" w:name="Par34"/>
      <w:bookmarkEnd w:id="2"/>
      <w:r>
        <w:rPr>
          <w:rFonts w:cs="Times New Roman" w:ascii="Times New Roman" w:hAnsi="Times New Roman"/>
          <w:sz w:val="28"/>
          <w:szCs w:val="28"/>
        </w:rPr>
        <w:t>«Приложение к Порядку</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cs="Times New Roman" w:ascii="Times New Roman" w:hAnsi="Times New Roman"/>
          <w:b/>
          <w:bCs/>
          <w:sz w:val="28"/>
          <w:szCs w:val="28"/>
        </w:rPr>
      </w:pPr>
      <w:bookmarkStart w:id="3" w:name="Par39"/>
      <w:bookmarkEnd w:id="3"/>
      <w:r>
        <w:rPr>
          <w:rFonts w:cs="Times New Roman" w:ascii="Times New Roman" w:hAnsi="Times New Roman"/>
          <w:b/>
          <w:bCs/>
          <w:sz w:val="28"/>
          <w:szCs w:val="28"/>
        </w:rPr>
        <w:t>МЕТОД</w:t>
      </w:r>
    </w:p>
    <w:p>
      <w:pPr>
        <w:pStyle w:val="Normal"/>
        <w:widowControl w:val="false"/>
        <w:spacing w:lineRule="auto" w:line="240" w:before="0" w:after="0"/>
        <w:jc w:val="center"/>
        <w:rPr>
          <w:rFonts w:cs="Times New Roman" w:ascii="Times New Roman" w:hAnsi="Times New Roman"/>
          <w:b/>
          <w:bCs/>
          <w:sz w:val="28"/>
          <w:szCs w:val="28"/>
        </w:rPr>
      </w:pPr>
      <w:r>
        <w:rPr>
          <w:rFonts w:cs="Times New Roman" w:ascii="Times New Roman" w:hAnsi="Times New Roman"/>
          <w:b/>
          <w:bCs/>
          <w:sz w:val="28"/>
          <w:szCs w:val="28"/>
        </w:rPr>
        <w:t>расчета затрат на оказание платной услуги</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Для расчета затрат на оказание платной услуги используется метод прямого счета.</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При использовании метода прямого счета применяется следующая формула:</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Зусл = Зоп + Змз + Зам + Зпр + Зохн, где:</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Зусл - затраты на оказание платной услуги;</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Зоп - затраты на основной персонал;</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Змз - затраты на приобретение материальных запасов, потребляемых в процессе оказания платной услуги;</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Зам - сумма начисленной амортизации оборудования, используемого при оказании платной услуги;</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Зпр - прочие расходы, отражающие специфику оказания платной услуги;</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Зохн - затраты общехозяйственного назначения, относимые на стоимость платной услуги.</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Затраты на основной персонал (Зоп) включают в себя:</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затраты на оплату труда и начисления на выплаты по оплате труда основного персонала;</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затраты на командировки основного персонала, связанные с предоставлением платной услуги;</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суммы вознаграждения сотрудников, привлекаемых по гражданско-правовым договорам.</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Затраты на оплату труда и начисления на выплаты по оплате труда основного персонала (Зот) определяются по формуле:</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Зот = </w:t>
      </w:r>
      <w:r>
        <w:rPr>
          <w:rFonts w:cs="Times New Roman" w:ascii="Symbol" w:hAnsi="Symbol"/>
          <w:sz w:val="28"/>
          <w:szCs w:val="28"/>
        </w:rPr>
        <w:t></w:t>
      </w:r>
      <w:r>
        <w:rPr>
          <w:rFonts w:cs="Times New Roman" w:ascii="Times New Roman" w:hAnsi="Times New Roman"/>
          <w:sz w:val="28"/>
          <w:szCs w:val="28"/>
        </w:rPr>
        <w:t xml:space="preserve"> Зот / Фр.вр x Тусл, где:</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Зот - сумма всех затрат организации на оплату труда и начисления на выплаты по оплате труда основного персонала за период времени;</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Фр.вр - фонд рабочего времени основного персонала организации за тот же период времени;</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Тусл - норма рабочего времени, затрачиваемого основным персоналом на оказание соответствующей платной услуги.</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Затраты на приобретение материальных запасов, полностью потребляемых в процессе оказания платной услуги (Змз), включают в себя (в зависимости от отраслевой специфики):</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затраты на медикаменты и перевязочные средства;</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затраты на продукты питания;</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затраты на мягкий инвентарь;</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затраты на приобретение расходных материалов для оргтехники;</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затраты на другие материальные запасы.</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Затраты на приобретение материальных запасов определяются по формуле:</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ConsPlusNonformat"/>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lang w:val="en-US"/>
        </w:rPr>
        <w:t>n</w:t>
      </w:r>
      <w:r>
        <w:rPr>
          <w:rFonts w:cs="Times New Roman" w:ascii="Times New Roman" w:hAnsi="Times New Roman"/>
        </w:rPr>
        <w:t xml:space="preserve"> </w:t>
      </w:r>
      <w:r>
        <w:rPr>
          <w:rFonts w:cs="Times New Roman" w:ascii="Times New Roman" w:hAnsi="Times New Roman"/>
          <w:sz w:val="28"/>
          <w:szCs w:val="28"/>
        </w:rPr>
        <w:t xml:space="preserve">     </w:t>
      </w:r>
    </w:p>
    <w:p>
      <w:pPr>
        <w:pStyle w:val="ConsPlusNonformat"/>
        <w:ind w:left="0" w:right="0" w:firstLine="567"/>
        <w:rPr>
          <w:rFonts w:cs="Times New Roman" w:ascii="Times New Roman" w:hAnsi="Times New Roman"/>
          <w:sz w:val="28"/>
          <w:szCs w:val="28"/>
        </w:rPr>
      </w:pPr>
      <w:r>
        <w:rPr>
          <w:rFonts w:cs="Times New Roman" w:ascii="Times New Roman" w:hAnsi="Times New Roman"/>
          <w:sz w:val="28"/>
          <w:szCs w:val="28"/>
        </w:rPr>
        <w:t xml:space="preserve">Змз = </w:t>
      </w:r>
      <w:r>
        <w:rPr>
          <w:rFonts w:cs="Times New Roman" w:ascii="Symbol" w:hAnsi="Symbol"/>
          <w:sz w:val="28"/>
          <w:szCs w:val="28"/>
        </w:rPr>
        <w:t></w:t>
      </w:r>
      <w:r>
        <w:rPr>
          <w:rFonts w:cs="Times New Roman" w:ascii="Times New Roman" w:hAnsi="Times New Roman"/>
          <w:sz w:val="28"/>
          <w:szCs w:val="28"/>
        </w:rPr>
        <w:t xml:space="preserve"> МЗ</w:t>
      </w:r>
      <w:r>
        <w:rPr>
          <w:rFonts w:cs="Times New Roman" w:ascii="Times New Roman" w:hAnsi="Times New Roman"/>
          <w:sz w:val="28"/>
          <w:szCs w:val="28"/>
          <w:vertAlign w:val="subscript"/>
          <w:lang w:val="en-US"/>
        </w:rPr>
        <w:t>i</w:t>
      </w:r>
      <w:r>
        <w:rPr>
          <w:rFonts w:cs="Times New Roman" w:ascii="Times New Roman" w:hAnsi="Times New Roman"/>
          <w:sz w:val="28"/>
          <w:szCs w:val="28"/>
        </w:rPr>
        <w:t xml:space="preserve"> x Ц</w:t>
      </w:r>
      <w:r>
        <w:rPr>
          <w:rFonts w:cs="Times New Roman" w:ascii="Times New Roman" w:hAnsi="Times New Roman"/>
          <w:sz w:val="28"/>
          <w:szCs w:val="28"/>
          <w:vertAlign w:val="subscript"/>
          <w:lang w:val="en-US"/>
        </w:rPr>
        <w:t>i</w:t>
      </w:r>
      <w:r>
        <w:rPr>
          <w:rFonts w:cs="Times New Roman" w:ascii="Times New Roman" w:hAnsi="Times New Roman"/>
          <w:sz w:val="28"/>
          <w:szCs w:val="28"/>
        </w:rPr>
        <w:t xml:space="preserve"> , где:</w:t>
      </w:r>
    </w:p>
    <w:p>
      <w:pPr>
        <w:pStyle w:val="ConsPlusNonformat"/>
        <w:rPr>
          <w:rFonts w:cs="Times New Roman" w:ascii="Times New Roman" w:hAnsi="Times New Roman"/>
        </w:rPr>
      </w:pPr>
      <w:r>
        <w:rPr>
          <w:rFonts w:cs="Times New Roman" w:ascii="Times New Roman" w:hAnsi="Times New Roman"/>
        </w:rPr>
        <w:t xml:space="preserve">                          </w:t>
      </w:r>
      <w:r>
        <w:rPr>
          <w:rFonts w:cs="Times New Roman" w:ascii="Times New Roman" w:hAnsi="Times New Roman"/>
          <w:lang w:val="en-US"/>
        </w:rPr>
        <w:t>i</w:t>
      </w:r>
      <w:r>
        <w:rPr>
          <w:rFonts w:cs="Times New Roman" w:ascii="Times New Roman" w:hAnsi="Times New Roman"/>
        </w:rPr>
        <w:t>=1</w:t>
      </w:r>
    </w:p>
    <w:p>
      <w:pPr>
        <w:pStyle w:val="ConsPlusNonformat"/>
        <w:rPr>
          <w:rFonts w:cs="Times New Roman" w:ascii="Times New Roman" w:hAnsi="Times New Roman"/>
          <w:sz w:val="28"/>
          <w:szCs w:val="28"/>
        </w:rPr>
      </w:pPr>
      <w:r>
        <w:rPr>
          <w:rFonts w:cs="Times New Roman" w:ascii="Times New Roman" w:hAnsi="Times New Roman"/>
          <w:sz w:val="28"/>
          <w:szCs w:val="28"/>
        </w:rPr>
      </w:r>
    </w:p>
    <w:p>
      <w:pPr>
        <w:pStyle w:val="ConsPlusNonformat"/>
        <w:ind w:left="0" w:right="0" w:firstLine="567"/>
        <w:rPr>
          <w:rFonts w:cs="Times New Roman" w:ascii="Times New Roman" w:hAnsi="Times New Roman"/>
          <w:sz w:val="28"/>
          <w:szCs w:val="28"/>
        </w:rPr>
      </w:pPr>
      <w:r>
        <w:rPr>
          <w:rFonts w:cs="Times New Roman" w:ascii="Times New Roman" w:hAnsi="Times New Roman"/>
          <w:sz w:val="28"/>
          <w:szCs w:val="28"/>
          <w:lang w:val="en-US"/>
        </w:rPr>
        <w:t>n</w:t>
      </w:r>
      <w:r>
        <w:rPr>
          <w:rFonts w:cs="Times New Roman" w:ascii="Times New Roman" w:hAnsi="Times New Roman"/>
          <w:sz w:val="28"/>
          <w:szCs w:val="28"/>
        </w:rPr>
        <w:t xml:space="preserve"> - количество видов материальных запасов;</w:t>
      </w:r>
    </w:p>
    <w:p>
      <w:pPr>
        <w:pStyle w:val="ConsPlusNonformat"/>
        <w:ind w:left="0" w:right="0" w:firstLine="567"/>
        <w:rPr>
          <w:rFonts w:cs="Times New Roman" w:ascii="Times New Roman" w:hAnsi="Times New Roman"/>
          <w:sz w:val="28"/>
          <w:szCs w:val="28"/>
        </w:rPr>
      </w:pPr>
      <w:r>
        <w:rPr>
          <w:rFonts w:cs="Times New Roman" w:ascii="Times New Roman" w:hAnsi="Times New Roman"/>
          <w:sz w:val="28"/>
          <w:szCs w:val="28"/>
          <w:lang w:val="en-US"/>
        </w:rPr>
        <w:t>i</w:t>
      </w:r>
      <w:r>
        <w:rPr>
          <w:rFonts w:cs="Times New Roman" w:ascii="Times New Roman" w:hAnsi="Times New Roman"/>
          <w:sz w:val="28"/>
          <w:szCs w:val="28"/>
        </w:rPr>
        <w:t xml:space="preserve"> - вид материальных запасов;</w:t>
      </w:r>
    </w:p>
    <w:p>
      <w:pPr>
        <w:pStyle w:val="ConsPlusNonformat"/>
        <w:ind w:left="0" w:right="0" w:firstLine="567"/>
        <w:rPr>
          <w:rFonts w:cs="Times New Roman" w:ascii="Times New Roman" w:hAnsi="Times New Roman"/>
          <w:sz w:val="28"/>
          <w:szCs w:val="28"/>
        </w:rPr>
      </w:pPr>
      <w:r>
        <w:rPr>
          <w:rFonts w:cs="Times New Roman" w:ascii="Times New Roman" w:hAnsi="Times New Roman"/>
          <w:sz w:val="28"/>
          <w:szCs w:val="28"/>
        </w:rPr>
        <w:t>МЗ - количество материальных запасов определенного вида;</w:t>
      </w:r>
    </w:p>
    <w:p>
      <w:pPr>
        <w:pStyle w:val="ConsPlusNonformat"/>
        <w:tabs>
          <w:tab w:val="left" w:pos="1418" w:leader="none"/>
          <w:tab w:val="left" w:pos="1701" w:leader="none"/>
        </w:tabs>
        <w:ind w:left="0" w:right="0" w:firstLine="567"/>
        <w:rPr>
          <w:rFonts w:cs="Times New Roman" w:ascii="Times New Roman" w:hAnsi="Times New Roman"/>
          <w:sz w:val="28"/>
          <w:szCs w:val="28"/>
        </w:rPr>
      </w:pPr>
      <w:r>
        <w:rPr>
          <w:rFonts w:cs="Times New Roman" w:ascii="Times New Roman" w:hAnsi="Times New Roman"/>
          <w:sz w:val="28"/>
          <w:szCs w:val="28"/>
        </w:rPr>
        <w:t>Ц - цена приобретаемых материальных запасов определенного вида.</w:t>
      </w:r>
    </w:p>
    <w:p>
      <w:pPr>
        <w:pStyle w:val="Normal"/>
        <w:widowControl w:val="fals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Сумма начисленной амортизации оборудования, используемого при оказании платной услуги (Зам),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Затраты общехозяйственного назначения, относимые на стоимость платной услуги (Зохн), включают в себя:</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затраты на коммунальные услуги, услуги связи, услуги прачечных, затраты на прочие услуги, потребляемые организацией при оказании платной услуги;</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затраты на содержание имущества, используемого при оказании платной услуги: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оборудованием, затраты на уборку помещений, затраты на приобретение топлива для котельных, затраты на санитарную обработку помещений.</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Объем затрат общехозяйственного назначения (Зохн) определяется по формуле:</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Зохн = kохн x Зоп, где:</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kохн - коэффициент затрат общехозяйственного назначения, отражающий нагрузку на единицу оплаты труда основного персонала организации. Данный коэффициент рассчитывается на основании отчетных данных за предшествующий период и прогнозируемых изменений в плановом периоде:</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 xml:space="preserve">kохн = Зохн / </w:t>
      </w:r>
      <w:r>
        <w:rPr>
          <w:rFonts w:cs="Times New Roman" w:ascii="Symbol" w:hAnsi="Symbol"/>
          <w:sz w:val="28"/>
          <w:szCs w:val="28"/>
        </w:rPr>
        <w:t></w:t>
      </w:r>
      <w:r>
        <w:rPr>
          <w:rFonts w:cs="Times New Roman" w:ascii="Times New Roman" w:hAnsi="Times New Roman"/>
          <w:sz w:val="28"/>
          <w:szCs w:val="28"/>
        </w:rPr>
        <w:t xml:space="preserve"> Зоп, где:</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Зоп - сумма фактических затрат на основной персонал учреждения за предшествующий период, скорректированных на прогнозируемое изменение численности основного персонала и прогнозируемый рост заработной платы.».</w:t>
      </w:r>
    </w:p>
    <w:p>
      <w:pPr>
        <w:pStyle w:val="Normal"/>
        <w:widowControl w:val="false"/>
        <w:spacing w:lineRule="auto" w:line="240" w:before="0" w:after="0"/>
        <w:ind w:left="0" w:right="0" w:firstLine="540"/>
        <w:jc w:val="both"/>
        <w:rPr>
          <w:rFonts w:cs="Times New Roman" w:ascii="Times New Roman" w:hAnsi="Times New Roman"/>
          <w:sz w:val="28"/>
          <w:szCs w:val="28"/>
        </w:rPr>
      </w:pPr>
      <w:r>
        <w:rPr>
          <w:rFonts w:cs="Times New Roman" w:ascii="Times New Roman" w:hAnsi="Times New Roman"/>
          <w:sz w:val="28"/>
          <w:szCs w:val="28"/>
        </w:rPr>
      </w:r>
    </w:p>
    <w:p>
      <w:pPr>
        <w:pStyle w:val="NoSpacing"/>
        <w:jc w:val="right"/>
        <w:rPr>
          <w:rFonts w:cs="Times New Roman" w:ascii="Times New Roman" w:hAnsi="Times New Roman"/>
          <w:sz w:val="28"/>
          <w:szCs w:val="28"/>
        </w:rPr>
      </w:pPr>
      <w:r>
        <w:rPr>
          <w:rFonts w:cs="Times New Roman" w:ascii="Times New Roman" w:hAnsi="Times New Roman"/>
          <w:sz w:val="28"/>
          <w:szCs w:val="28"/>
        </w:rPr>
      </w:r>
    </w:p>
    <w:p>
      <w:pPr>
        <w:pStyle w:val="NoSpacing"/>
        <w:jc w:val="right"/>
        <w:rPr>
          <w:rFonts w:cs="Times New Roman" w:ascii="Times New Roman" w:hAnsi="Times New Roman"/>
          <w:sz w:val="28"/>
          <w:szCs w:val="28"/>
        </w:rPr>
      </w:pPr>
      <w:r>
        <w:rPr>
          <w:rFonts w:cs="Times New Roman" w:ascii="Times New Roman" w:hAnsi="Times New Roman"/>
          <w:sz w:val="28"/>
          <w:szCs w:val="28"/>
        </w:rPr>
      </w:r>
    </w:p>
    <w:p>
      <w:pPr>
        <w:pStyle w:val="NoSpacing"/>
        <w:jc w:val="right"/>
        <w:rPr>
          <w:rFonts w:cs="Times New Roman" w:ascii="Times New Roman" w:hAnsi="Times New Roman"/>
          <w:sz w:val="28"/>
          <w:szCs w:val="28"/>
        </w:rPr>
      </w:pPr>
      <w:r>
        <w:rPr>
          <w:rFonts w:cs="Times New Roman" w:ascii="Times New Roman" w:hAnsi="Times New Roman"/>
          <w:sz w:val="28"/>
          <w:szCs w:val="28"/>
        </w:rPr>
        <w:t>Глава Республики Карелия</w:t>
      </w:r>
    </w:p>
    <w:p>
      <w:pPr>
        <w:pStyle w:val="NoSpacing"/>
        <w:jc w:val="right"/>
        <w:rPr>
          <w:rFonts w:cs="Times New Roman" w:ascii="Times New Roman" w:hAnsi="Times New Roman"/>
          <w:sz w:val="28"/>
          <w:szCs w:val="28"/>
        </w:rPr>
      </w:pPr>
      <w:r>
        <w:rPr>
          <w:rFonts w:cs="Times New Roman" w:ascii="Times New Roman" w:hAnsi="Times New Roman"/>
          <w:sz w:val="28"/>
          <w:szCs w:val="28"/>
        </w:rPr>
        <w:t>А.П.</w:t>
      </w: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ХУДИЛАЙНЕН </w:t>
      </w:r>
    </w:p>
    <w:p>
      <w:pPr>
        <w:pStyle w:val="Normal"/>
        <w:widowControl w:val="false"/>
        <w:spacing w:lineRule="auto" w:line="240" w:before="0" w:after="0"/>
        <w:ind w:left="0" w:right="0" w:firstLine="540"/>
        <w:jc w:val="both"/>
        <w:rPr/>
      </w:pPr>
      <w:r>
        <w:rPr/>
      </w:r>
    </w:p>
    <w:sectPr>
      <w:headerReference w:type="default" r:id="rId3"/>
      <w:headerReference w:type="first" r:id="rId4"/>
      <w:type w:val="nextPage"/>
      <w:pgSz w:w="11906" w:h="16838"/>
      <w:pgMar w:left="1701" w:right="851" w:header="709" w:top="1247"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Times New Roman">
    <w:charset w:val="01"/>
    <w:family w:val="roman"/>
    <w:pitch w:val="variable"/>
  </w:font>
  <w:font w:name="Symbo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fldChar w:fldCharType="begin"/>
    </w:r>
    <w:r>
      <w:instrText> PAGE </w:instrText>
    </w:r>
    <w:r>
      <w:fldChar w:fldCharType="separate"/>
    </w:r>
    <w:r>
      <w:t>4</w:t>
    </w:r>
    <w: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fldChar w:fldCharType="begin"/>
    </w:r>
    <w:r>
      <w:instrText> PAGE </w:instrText>
    </w:r>
    <w:r>
      <w:fldChar w:fldCharType="separate"/>
    </w:r>
    <w:r>
      <w:t>4</w:t>
    </w:r>
    <w:r>
      <w:fldChar w:fldCharType="end"/>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fldChar w:fldCharType="begin"/>
    </w:r>
    <w:r>
      <w:instrText> PAGE </w:instrText>
    </w:r>
    <w:r>
      <w:fldChar w:fldCharType="separate"/>
    </w:r>
    <w:r>
      <w:t>2</w:t>
    </w:r>
    <w: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Текст выноски Знак"/>
    <w:uiPriority w:val="99"/>
    <w:semiHidden/>
    <w:link w:val="a4"/>
    <w:rsid w:val="0052680d"/>
    <w:basedOn w:val="DefaultParagraphFont"/>
    <w:rPr>
      <w:rFonts w:ascii="Tahoma" w:hAnsi="Tahoma" w:cs="Tahoma"/>
      <w:sz w:val="16"/>
      <w:szCs w:val="16"/>
    </w:rPr>
  </w:style>
  <w:style w:type="character" w:styleId="PlaceholderText">
    <w:name w:val="Placeholder Text"/>
    <w:uiPriority w:val="99"/>
    <w:semiHidden/>
    <w:rsid w:val="00f26291"/>
    <w:basedOn w:val="DefaultParagraphFont"/>
    <w:rPr>
      <w:color w:val="808080"/>
    </w:rPr>
  </w:style>
  <w:style w:type="character" w:styleId="Style15" w:customStyle="1">
    <w:name w:val="Верхний колонтитул Знак"/>
    <w:uiPriority w:val="99"/>
    <w:link w:val="a8"/>
    <w:rsid w:val="00cb23ce"/>
    <w:basedOn w:val="DefaultParagraphFont"/>
    <w:rPr/>
  </w:style>
  <w:style w:type="character" w:styleId="Style16" w:customStyle="1">
    <w:name w:val="Нижний колонтитул Знак"/>
    <w:uiPriority w:val="99"/>
    <w:link w:val="aa"/>
    <w:rsid w:val="00cb23ce"/>
    <w:basedOn w:val="DefaultParagraphFont"/>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onsPlusNonformat" w:customStyle="1">
    <w:name w:val="ConsPlusNonformat"/>
    <w:uiPriority w:val="99"/>
    <w:rsid w:val="005646cb"/>
    <w:pPr>
      <w:widowControl w:val="false"/>
      <w:suppressAutoHyphens w:val="true"/>
      <w:bidi w:val="0"/>
      <w:spacing w:lineRule="auto" w:line="240" w:before="0" w:after="0"/>
      <w:jc w:val="left"/>
    </w:pPr>
    <w:rPr>
      <w:rFonts w:ascii="Courier New" w:hAnsi="Courier New" w:cs="Courier New" w:eastAsia="Droid Sans Fallback"/>
      <w:color w:val="auto"/>
      <w:sz w:val="20"/>
      <w:szCs w:val="20"/>
      <w:lang w:eastAsia="ru-RU" w:val="ru-RU" w:bidi="ar-SA"/>
    </w:rPr>
  </w:style>
  <w:style w:type="paragraph" w:styleId="NoSpacing">
    <w:name w:val="No Spacing"/>
    <w:uiPriority w:val="1"/>
    <w:qFormat/>
    <w:rsid w:val="005646cb"/>
    <w:pPr>
      <w:widowControl/>
      <w:suppressAutoHyphens w:val="true"/>
      <w:bidi w:val="0"/>
      <w:spacing w:lineRule="auto" w:line="240" w:before="0" w:after="0"/>
      <w:jc w:val="left"/>
    </w:pPr>
    <w:rPr>
      <w:rFonts w:ascii="Calibri" w:hAnsi="Calibri" w:eastAsia="Droid Sans Fallback" w:cs="Calibri"/>
      <w:color w:val="auto"/>
      <w:sz w:val="22"/>
      <w:szCs w:val="22"/>
      <w:lang w:val="ru-RU" w:eastAsia="en-US" w:bidi="ar-SA"/>
    </w:rPr>
  </w:style>
  <w:style w:type="paragraph" w:styleId="ConsPlusTitle" w:customStyle="1">
    <w:name w:val="ConsPlusTitle"/>
    <w:rsid w:val="00b1532f"/>
    <w:pPr>
      <w:widowControl w:val="false"/>
      <w:suppressAutoHyphens w:val="true"/>
      <w:bidi w:val="0"/>
      <w:spacing w:lineRule="auto" w:line="240" w:before="0" w:after="0"/>
      <w:jc w:val="left"/>
    </w:pPr>
    <w:rPr>
      <w:rFonts w:ascii="Times New Roman" w:hAnsi="Times New Roman" w:eastAsia="Times New Roman" w:cs="Times New Roman"/>
      <w:b/>
      <w:bCs/>
      <w:color w:val="auto"/>
      <w:sz w:val="24"/>
      <w:szCs w:val="24"/>
      <w:lang w:eastAsia="ru-RU" w:val="ru-RU" w:bidi="ar-SA"/>
    </w:rPr>
  </w:style>
  <w:style w:type="paragraph" w:styleId="BalloonText">
    <w:name w:val="Balloon Text"/>
    <w:uiPriority w:val="99"/>
    <w:semiHidden/>
    <w:unhideWhenUsed/>
    <w:link w:val="a5"/>
    <w:rsid w:val="0052680d"/>
    <w:basedOn w:val="Normal"/>
    <w:pPr>
      <w:spacing w:lineRule="auto" w:line="240" w:before="0" w:after="0"/>
    </w:pPr>
    <w:rPr>
      <w:rFonts w:ascii="Tahoma" w:hAnsi="Tahoma" w:cs="Tahoma"/>
      <w:sz w:val="16"/>
      <w:szCs w:val="16"/>
    </w:rPr>
  </w:style>
  <w:style w:type="paragraph" w:styleId="ListParagraph">
    <w:name w:val="List Paragraph"/>
    <w:uiPriority w:val="34"/>
    <w:qFormat/>
    <w:rsid w:val="0043328b"/>
    <w:basedOn w:val="Normal"/>
    <w:pPr>
      <w:spacing w:before="0" w:after="200"/>
      <w:ind w:left="720" w:right="0" w:hanging="0"/>
      <w:contextualSpacing/>
    </w:pPr>
    <w:rPr/>
  </w:style>
  <w:style w:type="paragraph" w:styleId="Header">
    <w:name w:val="Header"/>
    <w:uiPriority w:val="99"/>
    <w:unhideWhenUsed/>
    <w:link w:val="a9"/>
    <w:rsid w:val="00cb23ce"/>
    <w:basedOn w:val="Normal"/>
    <w:pPr>
      <w:tabs>
        <w:tab w:val="center" w:pos="4677" w:leader="none"/>
        <w:tab w:val="right" w:pos="9355" w:leader="none"/>
      </w:tabs>
      <w:spacing w:lineRule="auto" w:line="240" w:before="0" w:after="0"/>
    </w:pPr>
    <w:rPr/>
  </w:style>
  <w:style w:type="paragraph" w:styleId="Footer">
    <w:name w:val="Footer"/>
    <w:uiPriority w:val="99"/>
    <w:unhideWhenUsed/>
    <w:link w:val="ab"/>
    <w:rsid w:val="00cb23ce"/>
    <w:basedOn w:val="Normal"/>
    <w:pPr>
      <w:tabs>
        <w:tab w:val="center" w:pos="4677" w:leader="none"/>
        <w:tab w:val="right" w:pos="9355" w:leader="none"/>
      </w:tabs>
      <w:spacing w:lineRule="auto" w:line="240" w:before="0" w:after="0"/>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70C1-FF09-464A-99BC-ED259ED3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2014-04-25T11:42:00Z</dcterms:created>
  <dc:creator>Косокина</dc:creator>
  <dc:language>en-US</dc:language>
  <cp:lastModifiedBy>Косокина</cp:lastModifiedBy>
  <cp:lastPrinted>2014-11-21T08:37:00Z</cp:lastPrinted>
  <dcterms:modified xsi:type="dcterms:W3CDTF">2014-11-21T08:38:00Z</dcterms:modified>
  <cp:revision>32</cp:revision>
</cp:coreProperties>
</file>