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A1F5128" wp14:editId="1E79770D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A55766" w:rsidP="00A557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Наделить заместителя Главы Республики Карелия – Руководителя Администрации Главы Республики Карелия полномочиями:</w:t>
      </w:r>
    </w:p>
    <w:p w:rsidR="00A55766" w:rsidRDefault="00A55766" w:rsidP="00A557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направлению в соответствии с Указом Президента Российской Федерации от 2 апреля 2013 года № 309 «О мерах по реализации отдельных положений Федерального закона «О противодействии коррупции»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</w:t>
      </w:r>
      <w:r w:rsidR="00867549">
        <w:rPr>
          <w:sz w:val="28"/>
          <w:szCs w:val="28"/>
        </w:rPr>
        <w:t>с</w:t>
      </w:r>
      <w:r>
        <w:rPr>
          <w:sz w:val="28"/>
          <w:szCs w:val="28"/>
        </w:rPr>
        <w:t xml:space="preserve"> ним, при осуществлении проверок в целях противодействия коррупции;</w:t>
      </w:r>
    </w:p>
    <w:p w:rsidR="00A55766" w:rsidRDefault="00A55766" w:rsidP="00A557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принятию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решений об осуществлении контроля за расходами лиц, замещающих должности государственной гражданской службы Республики Карелия в органах исполнительной власти Республики Карелия, включенные в перечни, установленные нормативными правовыми актами Республики Карелия, а также за расходами их супруг (супругов) и несовершеннолетних детей (далее – расходы гражданских служащих и членов их семей) и уведомлению о принятых решениях лиц, представивших информацию, послужившую основанием для принятия решения об осуществлении или об отказе в осуществлении контроля за расходами гражданских служащих  и членов их семей;</w:t>
      </w:r>
    </w:p>
    <w:p w:rsidR="00A10AE3" w:rsidRDefault="00A55766" w:rsidP="00A557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представителя нанимателя по принятию решений о проведении служебных проверок и организации проведения служебных проверок в </w:t>
      </w:r>
      <w:r w:rsidR="00A10AE3">
        <w:rPr>
          <w:sz w:val="28"/>
          <w:szCs w:val="28"/>
        </w:rPr>
        <w:t>отношении государственных гражданских служащих Республики Карелия, назначаемых на должности и освобождаемых от должностей Главой Республики Карелия;</w:t>
      </w:r>
    </w:p>
    <w:p w:rsidR="00A10AE3" w:rsidRDefault="00A10AE3" w:rsidP="00A557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представителя нанимателя (работодателя) по затребованию от лиц, замещающих государственные должности Республики Карелия, </w:t>
      </w:r>
      <w:r w:rsidR="00867549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 xml:space="preserve">государственных гражданских служащих Республики Карелия, назначение и освобождение которых от должностей осуществляется </w:t>
      </w:r>
      <w:r>
        <w:rPr>
          <w:sz w:val="28"/>
          <w:szCs w:val="28"/>
        </w:rPr>
        <w:lastRenderedPageBreak/>
        <w:t>Главой Республики Карелия, письменных объяснений до применения дисциплинарного взыскания.</w:t>
      </w:r>
    </w:p>
    <w:p w:rsidR="00A10AE3" w:rsidRDefault="00A10AE3" w:rsidP="00A557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отсутствия заместителя Главы Республики Карелия – Руководителя Администрации Главы Республики Карелия наделить первого заместителя Руководителя Администрации </w:t>
      </w:r>
      <w:r w:rsidR="00867549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Республики Карелия или заместителя Руководителя Администрации Главы Республики Карелия, которому поручено исполнять обязанности Руководителя Администрации Главы Республики Карелия, полномочиями, указанными в подпунктах 2, 3 пункта 1 настоящего распоряжения.</w:t>
      </w:r>
    </w:p>
    <w:p w:rsidR="00A10AE3" w:rsidRDefault="00A10AE3" w:rsidP="00A557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A55766" w:rsidRDefault="00A10AE3" w:rsidP="00A557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15 марта 2011 года </w:t>
      </w:r>
      <w:r>
        <w:rPr>
          <w:sz w:val="28"/>
          <w:szCs w:val="28"/>
        </w:rPr>
        <w:br/>
        <w:t xml:space="preserve">№ 57-р (Собрание законодательства Республики Карелия, 2011, № 3, </w:t>
      </w:r>
      <w:r>
        <w:rPr>
          <w:sz w:val="28"/>
          <w:szCs w:val="28"/>
        </w:rPr>
        <w:br/>
        <w:t xml:space="preserve">ст. 295);        </w:t>
      </w:r>
      <w:r w:rsidR="00A55766">
        <w:rPr>
          <w:sz w:val="28"/>
          <w:szCs w:val="28"/>
        </w:rPr>
        <w:t xml:space="preserve">   </w:t>
      </w:r>
    </w:p>
    <w:p w:rsidR="00157FC5" w:rsidRDefault="00A10AE3" w:rsidP="00A10AE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29 мая 2013 года </w:t>
      </w:r>
      <w:r>
        <w:rPr>
          <w:sz w:val="28"/>
          <w:szCs w:val="28"/>
        </w:rPr>
        <w:br/>
        <w:t>№ 157-р;</w:t>
      </w:r>
    </w:p>
    <w:p w:rsidR="00A10AE3" w:rsidRDefault="00A10AE3" w:rsidP="00A10AE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15 октября 2014 года </w:t>
      </w:r>
      <w:r>
        <w:rPr>
          <w:sz w:val="28"/>
          <w:szCs w:val="28"/>
        </w:rPr>
        <w:br/>
        <w:t>№ 346-р;</w:t>
      </w:r>
    </w:p>
    <w:p w:rsidR="00A10AE3" w:rsidRDefault="00A10AE3" w:rsidP="00A10AE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30 октября 2014 года </w:t>
      </w:r>
      <w:r>
        <w:rPr>
          <w:sz w:val="28"/>
          <w:szCs w:val="28"/>
        </w:rPr>
        <w:br/>
        <w:t>№ 370-р.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431853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20 </w:t>
      </w:r>
      <w:r w:rsidR="003F627C">
        <w:rPr>
          <w:sz w:val="28"/>
        </w:rPr>
        <w:t>января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431853">
        <w:rPr>
          <w:sz w:val="28"/>
        </w:rPr>
        <w:t>10-р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3185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3185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318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8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3F627C"/>
    <w:rsid w:val="00431853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67549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10AE3"/>
    <w:rsid w:val="00A301C6"/>
    <w:rsid w:val="00A31178"/>
    <w:rsid w:val="00A405E9"/>
    <w:rsid w:val="00A43023"/>
    <w:rsid w:val="00A44216"/>
    <w:rsid w:val="00A5576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65F31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2015-01-19T11:37:00Z</cp:lastPrinted>
  <dcterms:created xsi:type="dcterms:W3CDTF">2015-01-19T08:18:00Z</dcterms:created>
  <dcterms:modified xsi:type="dcterms:W3CDTF">2015-01-20T09:42:00Z</dcterms:modified>
</cp:coreProperties>
</file>