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C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0C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A0CDE">
        <w:t>3 марта 2015 года № 64-П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B01D0" w:rsidRDefault="00FB01D0" w:rsidP="004E6146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B01D0" w:rsidRDefault="00FB01D0" w:rsidP="00FB01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Правительства</w:t>
      </w:r>
    </w:p>
    <w:p w:rsidR="00FB01D0" w:rsidRDefault="00FB01D0" w:rsidP="00FB01D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30 декабря 2011 года № 388-П</w:t>
      </w:r>
    </w:p>
    <w:p w:rsidR="00FB01D0" w:rsidRDefault="00FB01D0" w:rsidP="00FB0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1D0" w:rsidRDefault="00FB01D0" w:rsidP="00FB01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B01D0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B01D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B01D0">
        <w:rPr>
          <w:b/>
          <w:szCs w:val="28"/>
        </w:rPr>
        <w:t>т:</w:t>
      </w:r>
    </w:p>
    <w:p w:rsidR="004E6146" w:rsidRDefault="00FB01D0" w:rsidP="00DA579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Методику распределения субсидий местным бюджетам из бюджета Республики Карелия между муниципальными образованиями на выравнивание обеспеченности муниципальных образований по реализации расходных обязательств, связанных с оказанием муниципальных услуг, утвержденную приложением № 15 к постановлению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ст. 1345, 1353; № 8, </w:t>
      </w:r>
      <w:r>
        <w:rPr>
          <w:rFonts w:ascii="Times New Roman" w:hAnsi="Times New Roman"/>
          <w:sz w:val="28"/>
          <w:szCs w:val="28"/>
        </w:rPr>
        <w:br/>
        <w:t xml:space="preserve">ст. 1444; № 9, ст. 1631; № 10, ст. 1826; № 11, ст. 2035; № 12, ст. 2211, 2237, 2240, 2269, 2270; 2013, № 2, ст. 256; № 4, ст. 611, 625; № 6, ст. 1022; № 7,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 xml:space="preserve">ст. 1243; 2014, № 2, ст. 192; № 4, ст. 590; № 7, ст. 1285, 1287, 1298; № 8, </w:t>
      </w:r>
      <w:r>
        <w:rPr>
          <w:rFonts w:ascii="Times New Roman" w:hAnsi="Times New Roman"/>
          <w:sz w:val="28"/>
          <w:szCs w:val="28"/>
        </w:rPr>
        <w:br/>
        <w:t>ст. 1443, 1445; Карелия, 2014, 25 сентября, 9 октября; Официальный интернет-портал правовой информации (</w:t>
      </w:r>
      <w:r w:rsidRPr="00FB01D0">
        <w:rPr>
          <w:rFonts w:ascii="Times New Roman" w:hAnsi="Times New Roman"/>
          <w:sz w:val="28"/>
          <w:szCs w:val="28"/>
        </w:rPr>
        <w:t>www.pravo.gov.ru</w:t>
      </w:r>
      <w:r>
        <w:rPr>
          <w:rFonts w:ascii="Times New Roman" w:hAnsi="Times New Roman"/>
          <w:sz w:val="28"/>
          <w:szCs w:val="28"/>
        </w:rPr>
        <w:t>), 5 н</w:t>
      </w:r>
      <w:r w:rsidR="00DA5795">
        <w:rPr>
          <w:rFonts w:ascii="Times New Roman" w:hAnsi="Times New Roman"/>
          <w:sz w:val="28"/>
          <w:szCs w:val="28"/>
        </w:rPr>
        <w:t xml:space="preserve">оября </w:t>
      </w:r>
      <w:r w:rsidR="00DA5795">
        <w:rPr>
          <w:rFonts w:ascii="Times New Roman" w:hAnsi="Times New Roman"/>
          <w:sz w:val="28"/>
          <w:szCs w:val="28"/>
        </w:rPr>
        <w:br/>
        <w:t xml:space="preserve">2014 года, </w:t>
      </w:r>
      <w:r>
        <w:rPr>
          <w:rFonts w:ascii="Times New Roman" w:hAnsi="Times New Roman"/>
          <w:sz w:val="28"/>
          <w:szCs w:val="28"/>
        </w:rPr>
        <w:t>№ 1000201411050003</w:t>
      </w:r>
      <w:r w:rsidR="00A9073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1D0">
        <w:rPr>
          <w:rFonts w:ascii="Times New Roman" w:hAnsi="Times New Roman"/>
          <w:sz w:val="28"/>
          <w:szCs w:val="28"/>
        </w:rPr>
        <w:t>24</w:t>
      </w:r>
      <w:r w:rsidR="00DA5795">
        <w:rPr>
          <w:rFonts w:ascii="Times New Roman" w:hAnsi="Times New Roman"/>
          <w:sz w:val="28"/>
          <w:szCs w:val="28"/>
        </w:rPr>
        <w:t xml:space="preserve"> декабря 2014 года, № 100020141</w:t>
      </w:r>
      <w:r w:rsidRPr="00FB01D0">
        <w:rPr>
          <w:rFonts w:ascii="Times New Roman" w:hAnsi="Times New Roman"/>
          <w:sz w:val="28"/>
          <w:szCs w:val="28"/>
        </w:rPr>
        <w:t>2240006;</w:t>
      </w:r>
      <w:r>
        <w:rPr>
          <w:rFonts w:ascii="Times New Roman" w:hAnsi="Times New Roman"/>
          <w:sz w:val="28"/>
          <w:szCs w:val="28"/>
        </w:rPr>
        <w:t xml:space="preserve"> 4 января 2015 года, № 1000201501040001; 16 февраля 2015 года, </w:t>
      </w:r>
      <w:r w:rsidR="00DA57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10002015021600</w:t>
      </w:r>
      <w:r w:rsidR="00DA57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5;</w:t>
      </w:r>
      <w:r w:rsidR="00DA5795">
        <w:rPr>
          <w:rFonts w:ascii="Times New Roman" w:hAnsi="Times New Roman"/>
          <w:sz w:val="28"/>
          <w:szCs w:val="28"/>
        </w:rPr>
        <w:t xml:space="preserve"> 19 февраля </w:t>
      </w:r>
      <w:r w:rsidR="004E6146">
        <w:rPr>
          <w:rFonts w:ascii="Times New Roman" w:hAnsi="Times New Roman"/>
          <w:sz w:val="28"/>
          <w:szCs w:val="28"/>
        </w:rPr>
        <w:t>2015 года, №</w:t>
      </w:r>
      <w:r w:rsidR="00D2093B">
        <w:rPr>
          <w:rFonts w:ascii="Times New Roman" w:hAnsi="Times New Roman"/>
          <w:sz w:val="28"/>
          <w:szCs w:val="28"/>
        </w:rPr>
        <w:t xml:space="preserve"> </w:t>
      </w:r>
      <w:r w:rsidR="00DA5795">
        <w:rPr>
          <w:rFonts w:ascii="Times New Roman" w:hAnsi="Times New Roman"/>
          <w:sz w:val="28"/>
          <w:szCs w:val="28"/>
        </w:rPr>
        <w:t>1000201502190002</w:t>
      </w:r>
      <w:r>
        <w:rPr>
          <w:rFonts w:ascii="Times New Roman" w:hAnsi="Times New Roman"/>
          <w:sz w:val="28"/>
          <w:szCs w:val="28"/>
        </w:rPr>
        <w:t>)</w:t>
      </w:r>
      <w:r w:rsidR="004E61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изменение, изложив ее в следующей редакции:</w:t>
      </w:r>
      <w:proofErr w:type="gramEnd"/>
    </w:p>
    <w:p w:rsidR="00D2093B" w:rsidRDefault="00D2093B" w:rsidP="00FB01D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  <w:sectPr w:rsidR="00D2093B" w:rsidSect="004E6146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B01D0" w:rsidRDefault="00FB01D0" w:rsidP="00FB01D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«Приложение № 15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30 декабря 2011 года № 388-П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МЕТОДИКА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распределения субсидий местным бюджетам из бюджета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между муниципальными образованиями </w:t>
      </w:r>
      <w:proofErr w:type="gramStart"/>
      <w:r>
        <w:rPr>
          <w:b/>
          <w:bCs/>
          <w:szCs w:val="28"/>
        </w:rPr>
        <w:t>на</w:t>
      </w:r>
      <w:proofErr w:type="gramEnd"/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выравнивание обеспеченности муниципальных образований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реализации расходных обязательств, связанных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 оказанием муниципальных услуг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Субсидии на выравнивание обеспеченности муниципальных образований по реализации расходных обязательств, связанных с оказанием муниципальных услуг (далее в настоящей Методике – субсидии,  выравнивание обеспеченности), распределяются между бюджетами муниципальных районов (городских округов).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Распределение субсидии между бюджетами </w:t>
      </w:r>
      <w:r w:rsidR="00B6440A">
        <w:rPr>
          <w:szCs w:val="28"/>
        </w:rPr>
        <w:t xml:space="preserve">соответствующих </w:t>
      </w:r>
      <w:r>
        <w:rPr>
          <w:szCs w:val="28"/>
        </w:rPr>
        <w:t xml:space="preserve">муниципальных </w:t>
      </w:r>
      <w:r w:rsidR="00B6440A">
        <w:rPr>
          <w:szCs w:val="28"/>
        </w:rPr>
        <w:t>районов (городских округов)</w:t>
      </w:r>
      <w:r>
        <w:rPr>
          <w:szCs w:val="28"/>
        </w:rPr>
        <w:t xml:space="preserve"> осуществляется по следующей методике: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proofErr w:type="spellStart"/>
      <w:r>
        <w:rPr>
          <w:szCs w:val="28"/>
        </w:rPr>
        <w:t>Свыр</w:t>
      </w:r>
      <w:proofErr w:type="gramStart"/>
      <w:r>
        <w:rPr>
          <w:szCs w:val="28"/>
          <w:lang w:val="en-US"/>
        </w:rPr>
        <w:t>i</w:t>
      </w:r>
      <w:proofErr w:type="spellEnd"/>
      <w:proofErr w:type="gramEnd"/>
      <w:r>
        <w:rPr>
          <w:szCs w:val="28"/>
          <w:lang w:val="en-US"/>
        </w:rPr>
        <w:t xml:space="preserve"> = </w:t>
      </w:r>
      <w:proofErr w:type="spellStart"/>
      <w:r>
        <w:rPr>
          <w:szCs w:val="28"/>
        </w:rPr>
        <w:t>Свыр</w:t>
      </w:r>
      <w:proofErr w:type="spellEnd"/>
      <w:r>
        <w:rPr>
          <w:szCs w:val="28"/>
          <w:lang w:val="en-US"/>
        </w:rPr>
        <w:t xml:space="preserve">1i + </w:t>
      </w:r>
      <w:proofErr w:type="spellStart"/>
      <w:r>
        <w:rPr>
          <w:szCs w:val="28"/>
        </w:rPr>
        <w:t>Свыр</w:t>
      </w:r>
      <w:proofErr w:type="spellEnd"/>
      <w:r>
        <w:rPr>
          <w:szCs w:val="28"/>
          <w:lang w:val="en-US"/>
        </w:rPr>
        <w:t xml:space="preserve">2i + </w:t>
      </w:r>
      <w:proofErr w:type="spellStart"/>
      <w:r>
        <w:rPr>
          <w:szCs w:val="28"/>
        </w:rPr>
        <w:t>Свыр</w:t>
      </w:r>
      <w:proofErr w:type="spellEnd"/>
      <w:r>
        <w:rPr>
          <w:szCs w:val="28"/>
          <w:lang w:val="en-US"/>
        </w:rPr>
        <w:t xml:space="preserve">3i, </w:t>
      </w:r>
      <w:r>
        <w:rPr>
          <w:szCs w:val="28"/>
        </w:rPr>
        <w:t>где</w:t>
      </w:r>
      <w:r>
        <w:rPr>
          <w:szCs w:val="28"/>
          <w:lang w:val="en-US"/>
        </w:rPr>
        <w:t>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Свыр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</w:t>
      </w:r>
      <w:r w:rsidR="00B6440A">
        <w:rPr>
          <w:szCs w:val="28"/>
        </w:rPr>
        <w:t>–</w:t>
      </w:r>
      <w:r>
        <w:rPr>
          <w:szCs w:val="28"/>
        </w:rPr>
        <w:t xml:space="preserve"> объем субсидии бюджету соответствующего (i) муниципального</w:t>
      </w:r>
      <w:r w:rsidR="00B6440A">
        <w:rPr>
          <w:szCs w:val="28"/>
        </w:rPr>
        <w:t xml:space="preserve"> района (городского округа)</w:t>
      </w:r>
      <w:r>
        <w:rPr>
          <w:szCs w:val="28"/>
        </w:rPr>
        <w:t>;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Свыр1i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выравнивание обеспеченности бюджету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распределяемый на I этапе;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Свыр2i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выравнивание обеспеченности бюджету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распределяемый на II этапе;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Свыр3i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выравнивание обеспеченности бюджету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 xml:space="preserve">, распределяемый 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этапе</w:t>
      </w:r>
      <w:r w:rsidR="00B6440A">
        <w:rPr>
          <w:szCs w:val="28"/>
        </w:rPr>
        <w:t xml:space="preserve"> в случае внесения изменений в з</w:t>
      </w:r>
      <w:r>
        <w:rPr>
          <w:szCs w:val="28"/>
        </w:rPr>
        <w:t>акон Республики Карелия о бюджете Республики Карелия на текущий финансовый год и плановый период после 1 октября, предусматривающих увеличение объема субсидии.</w:t>
      </w:r>
    </w:p>
    <w:p w:rsidR="00B6440A" w:rsidRDefault="00B6440A" w:rsidP="00FB01D0">
      <w:pPr>
        <w:widowControl w:val="0"/>
        <w:autoSpaceDE w:val="0"/>
        <w:autoSpaceDN w:val="0"/>
        <w:adjustRightInd w:val="0"/>
        <w:ind w:firstLine="540"/>
        <w:jc w:val="both"/>
        <w:rPr>
          <w:strike/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Объем средств на выравнивание обеспеченности распределяется между бюджетами </w:t>
      </w:r>
      <w:r w:rsidR="00B6440A">
        <w:rPr>
          <w:szCs w:val="28"/>
        </w:rPr>
        <w:t xml:space="preserve">соответствующих </w:t>
      </w:r>
      <w:r>
        <w:rPr>
          <w:szCs w:val="28"/>
        </w:rPr>
        <w:t xml:space="preserve">муниципальных </w:t>
      </w:r>
      <w:r w:rsidR="00B6440A">
        <w:rPr>
          <w:szCs w:val="28"/>
        </w:rPr>
        <w:t xml:space="preserve">районов (городских округов) </w:t>
      </w:r>
      <w:r>
        <w:rPr>
          <w:szCs w:val="28"/>
        </w:rPr>
        <w:t>следующим образом: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I этапе </w:t>
      </w:r>
      <w:r w:rsidR="00B6440A">
        <w:rPr>
          <w:szCs w:val="28"/>
        </w:rPr>
        <w:t>–</w:t>
      </w:r>
      <w:r>
        <w:rPr>
          <w:szCs w:val="28"/>
        </w:rPr>
        <w:t xml:space="preserve"> в срок до 1 марта в размере 65%;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II этапе </w:t>
      </w:r>
      <w:r w:rsidR="00B6440A">
        <w:rPr>
          <w:szCs w:val="28"/>
        </w:rPr>
        <w:t>–</w:t>
      </w:r>
      <w:r>
        <w:rPr>
          <w:szCs w:val="28"/>
        </w:rPr>
        <w:t xml:space="preserve"> в срок до 1 октября в размере 35%;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III этапе </w:t>
      </w:r>
      <w:r w:rsidR="00B6440A">
        <w:rPr>
          <w:szCs w:val="28"/>
        </w:rPr>
        <w:t>–</w:t>
      </w:r>
      <w:r>
        <w:rPr>
          <w:szCs w:val="28"/>
        </w:rPr>
        <w:t xml:space="preserve"> в течение 15 рабочих дн</w:t>
      </w:r>
      <w:r w:rsidR="00B6440A">
        <w:rPr>
          <w:szCs w:val="28"/>
        </w:rPr>
        <w:t>ей со дня внесения изменений в з</w:t>
      </w:r>
      <w:r>
        <w:rPr>
          <w:szCs w:val="28"/>
        </w:rPr>
        <w:t xml:space="preserve">акон Республики Карелия о бюджете Республики Карелия на текущий </w:t>
      </w:r>
      <w:r>
        <w:rPr>
          <w:szCs w:val="28"/>
        </w:rPr>
        <w:lastRenderedPageBreak/>
        <w:t>финансовый год и плановый период после 1 октября текущего финансового года.</w:t>
      </w:r>
    </w:p>
    <w:p w:rsidR="00B6440A" w:rsidRDefault="00B6440A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Распределение объема средств на выравнивание обеспеченности на очередном (</w:t>
      </w:r>
      <w:r>
        <w:rPr>
          <w:szCs w:val="28"/>
          <w:lang w:val="en-US"/>
        </w:rPr>
        <w:t>j</w:t>
      </w:r>
      <w:r>
        <w:rPr>
          <w:szCs w:val="28"/>
        </w:rPr>
        <w:t xml:space="preserve">) этапе между бюджетами </w:t>
      </w:r>
      <w:r w:rsidR="00B6440A">
        <w:rPr>
          <w:szCs w:val="28"/>
        </w:rPr>
        <w:t xml:space="preserve">соответствующих </w:t>
      </w:r>
      <w:r>
        <w:rPr>
          <w:szCs w:val="28"/>
        </w:rPr>
        <w:t xml:space="preserve">муниципальных </w:t>
      </w:r>
      <w:r w:rsidR="00B6440A">
        <w:rPr>
          <w:szCs w:val="28"/>
        </w:rPr>
        <w:t xml:space="preserve">районов (городских округов) </w:t>
      </w:r>
      <w:r>
        <w:rPr>
          <w:szCs w:val="28"/>
        </w:rPr>
        <w:t>осуществляется по следующей формуле: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proofErr w:type="spellStart"/>
      <w:r>
        <w:rPr>
          <w:szCs w:val="28"/>
        </w:rPr>
        <w:t>Свыр</w:t>
      </w:r>
      <w:proofErr w:type="gramStart"/>
      <w:r>
        <w:rPr>
          <w:szCs w:val="28"/>
          <w:lang w:val="en-US"/>
        </w:rPr>
        <w:t>ji</w:t>
      </w:r>
      <w:proofErr w:type="spellEnd"/>
      <w:proofErr w:type="gramEnd"/>
      <w:r w:rsidR="00B6440A" w:rsidRPr="00B6440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= V1i + V2i + V3i, </w:t>
      </w:r>
      <w:r>
        <w:rPr>
          <w:szCs w:val="28"/>
        </w:rPr>
        <w:t>где</w:t>
      </w:r>
      <w:r>
        <w:rPr>
          <w:szCs w:val="28"/>
          <w:lang w:val="en-US"/>
        </w:rPr>
        <w:t>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Свыр</w:t>
      </w:r>
      <w:proofErr w:type="gramStart"/>
      <w:r>
        <w:rPr>
          <w:szCs w:val="28"/>
          <w:lang w:val="en-US"/>
        </w:rPr>
        <w:t>ji</w:t>
      </w:r>
      <w:proofErr w:type="spellEnd"/>
      <w:proofErr w:type="gramEnd"/>
      <w:r>
        <w:rPr>
          <w:szCs w:val="28"/>
        </w:rPr>
        <w:t xml:space="preserve"> – объем средств на выравнивание обеспеченности, распределяемый на очередном (</w:t>
      </w:r>
      <w:r>
        <w:rPr>
          <w:szCs w:val="28"/>
          <w:lang w:val="en-US"/>
        </w:rPr>
        <w:t>j</w:t>
      </w:r>
      <w:r>
        <w:rPr>
          <w:szCs w:val="28"/>
        </w:rPr>
        <w:t xml:space="preserve">) этапе для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;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V1i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выравнивание обеспеченности соответствующего (i) муниципального </w:t>
      </w:r>
      <w:r w:rsidR="004E6146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оценки изменения налогового потенциала, безвозмездных поступлений из бюджета Республики Карелия на выравнивание обеспеченности  от оценки изменения объема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 муниципальными учреждениями, иных расходных обязательств на оказание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муниципальных услуг (далее в настоящей Методике </w:t>
      </w:r>
      <w:r w:rsidR="00B6440A">
        <w:rPr>
          <w:szCs w:val="28"/>
        </w:rPr>
        <w:t>–</w:t>
      </w:r>
      <w:r>
        <w:rPr>
          <w:szCs w:val="28"/>
        </w:rPr>
        <w:t xml:space="preserve"> удельный вес отклонения, оценка изменения </w:t>
      </w:r>
      <w:r w:rsidR="004E6146">
        <w:rPr>
          <w:szCs w:val="28"/>
        </w:rPr>
        <w:t xml:space="preserve">объема </w:t>
      </w:r>
      <w:r>
        <w:rPr>
          <w:szCs w:val="28"/>
        </w:rPr>
        <w:t xml:space="preserve">расходных обязательств) в текущем финансовом году превышает 35% от оценки налогового потенциала с учетом безвозмездных поступлений из бюджета Республики Карелия на выравнивание обеспеченности по соответствующему (i) муниципальному </w:t>
      </w:r>
      <w:r w:rsidR="004E6146">
        <w:rPr>
          <w:szCs w:val="28"/>
        </w:rPr>
        <w:t>району (городскому округу)</w:t>
      </w:r>
      <w:r>
        <w:rPr>
          <w:szCs w:val="28"/>
        </w:rPr>
        <w:t xml:space="preserve"> в текущем финансовом году (далее в настоящей Методике</w:t>
      </w:r>
      <w:r w:rsidR="00B6440A">
        <w:rPr>
          <w:szCs w:val="28"/>
        </w:rPr>
        <w:t xml:space="preserve"> –</w:t>
      </w:r>
      <w:r>
        <w:rPr>
          <w:szCs w:val="28"/>
        </w:rPr>
        <w:t xml:space="preserve"> оценка потенциала);</w:t>
      </w:r>
      <w:proofErr w:type="gramEnd"/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V2i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выравнивание обеспеченности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находится в диапазоне от 25 до 35% от оценки потенциала;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V3i </w:t>
      </w:r>
      <w:r w:rsidR="00B6440A">
        <w:rPr>
          <w:szCs w:val="28"/>
        </w:rPr>
        <w:t xml:space="preserve">– </w:t>
      </w:r>
      <w:r>
        <w:rPr>
          <w:szCs w:val="28"/>
        </w:rPr>
        <w:t xml:space="preserve">объем средств на выравнивание обеспеченности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ниже 25% от оценки потенциала.</w:t>
      </w:r>
    </w:p>
    <w:p w:rsidR="00B6440A" w:rsidRDefault="00B6440A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Объем средств на выравнивание обеспеченности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превышает 35% от оценки потенциала, рассчитывается по следующей формуле: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jc w:val="center"/>
        <w:rPr>
          <w:szCs w:val="28"/>
        </w:rPr>
      </w:pP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>1</w:t>
      </w:r>
      <w:proofErr w:type="spellStart"/>
      <w:r>
        <w:rPr>
          <w:color w:val="000000"/>
          <w:sz w:val="26"/>
          <w:szCs w:val="26"/>
          <w:lang w:val="en-US"/>
        </w:rPr>
        <w:t>i</w:t>
      </w:r>
      <w:proofErr w:type="spellEnd"/>
      <w:r w:rsidRPr="00FB01D0">
        <w:rPr>
          <w:color w:val="000000"/>
          <w:sz w:val="26"/>
          <w:szCs w:val="26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Свыр</w:t>
      </w:r>
      <w:proofErr w:type="spellEnd"/>
      <w:r>
        <w:rPr>
          <w:szCs w:val="28"/>
          <w:lang w:val="en-US"/>
        </w:rPr>
        <w:t>j</w:t>
      </w:r>
      <w:r w:rsidRPr="00FB01D0"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FB01D0">
        <w:rPr>
          <w:szCs w:val="28"/>
        </w:rPr>
        <w:t xml:space="preserve"> </w:t>
      </w:r>
      <w:r>
        <w:rPr>
          <w:szCs w:val="28"/>
        </w:rPr>
        <w:t>0</w:t>
      </w:r>
      <w:proofErr w:type="gramStart"/>
      <w:r>
        <w:rPr>
          <w:szCs w:val="28"/>
        </w:rPr>
        <w:t>,2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FB01D0">
        <w:rPr>
          <w:szCs w:val="28"/>
        </w:rPr>
        <w:t xml:space="preserve"> </w:t>
      </w:r>
      <w:proofErr w:type="spellStart"/>
      <w:r>
        <w:rPr>
          <w:szCs w:val="28"/>
        </w:rPr>
        <w:t>Осбал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/ </w:t>
      </w:r>
      <w:r>
        <w:rPr>
          <w:szCs w:val="28"/>
          <w:lang w:val="en-US"/>
        </w:rPr>
        <w:t>SUM</w:t>
      </w:r>
      <w:r w:rsidRPr="00FB01D0">
        <w:rPr>
          <w:szCs w:val="28"/>
        </w:rPr>
        <w:t xml:space="preserve"> </w:t>
      </w:r>
      <w:proofErr w:type="spellStart"/>
      <w:r>
        <w:rPr>
          <w:szCs w:val="28"/>
        </w:rPr>
        <w:t>Осбал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>, где:</w:t>
      </w:r>
    </w:p>
    <w:p w:rsidR="00B6440A" w:rsidRDefault="00B6440A" w:rsidP="00FB01D0">
      <w:pPr>
        <w:jc w:val="center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val="en-US"/>
        </w:rPr>
        <w:t>C</w:t>
      </w:r>
      <w:proofErr w:type="spellStart"/>
      <w:r>
        <w:rPr>
          <w:szCs w:val="28"/>
        </w:rPr>
        <w:t>выр</w:t>
      </w:r>
      <w:proofErr w:type="spellEnd"/>
      <w:r>
        <w:rPr>
          <w:szCs w:val="28"/>
          <w:lang w:val="en-US"/>
        </w:rPr>
        <w:t>j</w:t>
      </w:r>
      <w:r>
        <w:rPr>
          <w:szCs w:val="28"/>
        </w:rPr>
        <w:t xml:space="preserve">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выравнивание обеспеченности, распределяемый на очередном (</w:t>
      </w:r>
      <w:r>
        <w:rPr>
          <w:szCs w:val="28"/>
          <w:lang w:val="en-US"/>
        </w:rPr>
        <w:t>j</w:t>
      </w:r>
      <w:r>
        <w:rPr>
          <w:szCs w:val="28"/>
        </w:rPr>
        <w:t xml:space="preserve">) этапе; 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Осбал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обеспечение сбалансированности бюджета </w:t>
      </w:r>
      <w:r>
        <w:rPr>
          <w:szCs w:val="28"/>
        </w:rPr>
        <w:lastRenderedPageBreak/>
        <w:t xml:space="preserve">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 xml:space="preserve">, связанных с реализацией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 муниципальными учреждениями, иных расходных обязательств на оказание муниципальных услуг в текущем финансовом году (далее в настоящей Методике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обеспечение сбалансированности бюджета соответствующего (i</w:t>
      </w:r>
      <w:proofErr w:type="gramEnd"/>
      <w:r>
        <w:rPr>
          <w:szCs w:val="28"/>
        </w:rPr>
        <w:t xml:space="preserve">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превышает 40% от оценки потенциала.</w:t>
      </w:r>
    </w:p>
    <w:p w:rsidR="00B6440A" w:rsidRDefault="00B6440A" w:rsidP="00FB01D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Объем средств на выравнивание обеспеченности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находится в диапазоне от 25 до 35% от оценки потенциала, рассчитывается по формуле: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jc w:val="center"/>
        <w:rPr>
          <w:szCs w:val="28"/>
        </w:rPr>
      </w:pP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>2</w:t>
      </w:r>
      <w:proofErr w:type="spellStart"/>
      <w:r>
        <w:rPr>
          <w:color w:val="000000"/>
          <w:sz w:val="26"/>
          <w:szCs w:val="26"/>
          <w:lang w:val="en-US"/>
        </w:rPr>
        <w:t>i</w:t>
      </w:r>
      <w:proofErr w:type="spellEnd"/>
      <w:r w:rsidRPr="00FB01D0">
        <w:rPr>
          <w:color w:val="000000"/>
          <w:sz w:val="26"/>
          <w:szCs w:val="26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Свыр</w:t>
      </w:r>
      <w:proofErr w:type="spellEnd"/>
      <w:r>
        <w:rPr>
          <w:szCs w:val="28"/>
          <w:lang w:val="en-US"/>
        </w:rPr>
        <w:t>j</w:t>
      </w:r>
      <w:r w:rsidRPr="00FB01D0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0</w:t>
      </w:r>
      <w:proofErr w:type="gramStart"/>
      <w:r>
        <w:rPr>
          <w:szCs w:val="28"/>
        </w:rPr>
        <w:t>,3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FB01D0">
        <w:rPr>
          <w:szCs w:val="28"/>
        </w:rPr>
        <w:t xml:space="preserve"> </w:t>
      </w:r>
      <w:proofErr w:type="spellStart"/>
      <w:r>
        <w:rPr>
          <w:szCs w:val="28"/>
        </w:rPr>
        <w:t>Осбал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/ </w:t>
      </w:r>
      <w:r>
        <w:rPr>
          <w:szCs w:val="28"/>
          <w:lang w:val="en-US"/>
        </w:rPr>
        <w:t>SUM</w:t>
      </w:r>
      <w:r w:rsidRPr="00FB01D0">
        <w:rPr>
          <w:szCs w:val="28"/>
        </w:rPr>
        <w:t xml:space="preserve"> </w:t>
      </w:r>
      <w:proofErr w:type="spellStart"/>
      <w:r>
        <w:rPr>
          <w:szCs w:val="28"/>
        </w:rPr>
        <w:t>Осбал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>, где: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Осбал</w:t>
      </w:r>
      <w:proofErr w:type="gramStart"/>
      <w:r>
        <w:rPr>
          <w:szCs w:val="28"/>
          <w:lang w:val="en-US"/>
        </w:rPr>
        <w:t>i</w:t>
      </w:r>
      <w:proofErr w:type="spellEnd"/>
      <w:proofErr w:type="gramEnd"/>
      <w:r w:rsidRPr="00FB01D0">
        <w:rPr>
          <w:szCs w:val="28"/>
        </w:rPr>
        <w:t xml:space="preserve">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обеспечение сбалансированности бюджета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находится в диапазоне от 25 до 35% от оценки потенциала.</w:t>
      </w:r>
    </w:p>
    <w:p w:rsidR="00B6440A" w:rsidRDefault="00B6440A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Объем средств на выравнивание обеспеченности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ниже 25% от оценки потенциала, рассчитывается по следующей формуле: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jc w:val="center"/>
        <w:rPr>
          <w:szCs w:val="28"/>
        </w:rPr>
      </w:pP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>2</w:t>
      </w:r>
      <w:proofErr w:type="spellStart"/>
      <w:r>
        <w:rPr>
          <w:color w:val="000000"/>
          <w:sz w:val="26"/>
          <w:szCs w:val="26"/>
          <w:lang w:val="en-US"/>
        </w:rPr>
        <w:t>i</w:t>
      </w:r>
      <w:proofErr w:type="spellEnd"/>
      <w:r w:rsidRPr="00FB01D0">
        <w:rPr>
          <w:color w:val="000000"/>
          <w:sz w:val="26"/>
          <w:szCs w:val="26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Свыр</w:t>
      </w:r>
      <w:proofErr w:type="spellEnd"/>
      <w:r>
        <w:rPr>
          <w:szCs w:val="28"/>
          <w:lang w:val="en-US"/>
        </w:rPr>
        <w:t>j</w:t>
      </w:r>
      <w:r w:rsidRPr="00FB01D0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0</w:t>
      </w:r>
      <w:proofErr w:type="gramStart"/>
      <w:r>
        <w:rPr>
          <w:szCs w:val="28"/>
        </w:rPr>
        <w:t>,5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FB01D0">
        <w:rPr>
          <w:szCs w:val="28"/>
        </w:rPr>
        <w:t xml:space="preserve"> </w:t>
      </w:r>
      <w:proofErr w:type="spellStart"/>
      <w:r>
        <w:rPr>
          <w:szCs w:val="28"/>
        </w:rPr>
        <w:t>Осбал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/ </w:t>
      </w:r>
      <w:r>
        <w:rPr>
          <w:szCs w:val="28"/>
          <w:lang w:val="en-US"/>
        </w:rPr>
        <w:t>SUM</w:t>
      </w:r>
      <w:r w:rsidRPr="00FB01D0">
        <w:rPr>
          <w:szCs w:val="28"/>
        </w:rPr>
        <w:t xml:space="preserve"> </w:t>
      </w:r>
      <w:proofErr w:type="spellStart"/>
      <w:r>
        <w:rPr>
          <w:szCs w:val="28"/>
        </w:rPr>
        <w:t>Осбал</w:t>
      </w:r>
      <w:r>
        <w:rPr>
          <w:szCs w:val="28"/>
          <w:lang w:val="en-US"/>
        </w:rPr>
        <w:t>i</w:t>
      </w:r>
      <w:proofErr w:type="spellEnd"/>
      <w:r>
        <w:rPr>
          <w:szCs w:val="28"/>
        </w:rPr>
        <w:t>, где:</w:t>
      </w:r>
    </w:p>
    <w:p w:rsidR="00B6440A" w:rsidRDefault="00B6440A" w:rsidP="00FB01D0">
      <w:pPr>
        <w:jc w:val="center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Осбал</w:t>
      </w:r>
      <w:proofErr w:type="gramStart"/>
      <w:r>
        <w:rPr>
          <w:szCs w:val="28"/>
          <w:lang w:val="en-US"/>
        </w:rPr>
        <w:t>i</w:t>
      </w:r>
      <w:proofErr w:type="spellEnd"/>
      <w:proofErr w:type="gramEnd"/>
      <w:r w:rsidRPr="00FB01D0">
        <w:rPr>
          <w:szCs w:val="28"/>
        </w:rPr>
        <w:t xml:space="preserve"> </w:t>
      </w:r>
      <w:r w:rsidR="00B6440A">
        <w:rPr>
          <w:szCs w:val="28"/>
        </w:rPr>
        <w:t>–</w:t>
      </w:r>
      <w:r>
        <w:rPr>
          <w:szCs w:val="28"/>
        </w:rPr>
        <w:t xml:space="preserve"> объем средств на обеспечение сбалансированности бюджета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>, по которому удельный вес отклонения ниже 25% от оценки потенциала.</w:t>
      </w:r>
    </w:p>
    <w:p w:rsidR="00B6440A" w:rsidRDefault="00B6440A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Объем средств на обеспечение сбалансированности бюджета соответствующего (i) муниципального </w:t>
      </w:r>
      <w:r w:rsidR="00B6440A">
        <w:rPr>
          <w:szCs w:val="28"/>
        </w:rPr>
        <w:t>района (городского округа)</w:t>
      </w:r>
      <w:r>
        <w:rPr>
          <w:szCs w:val="28"/>
        </w:rPr>
        <w:t xml:space="preserve"> рассчитывается по следующей формуле:</w:t>
      </w: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Осбалi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Zдxi</w:t>
      </w:r>
      <w:proofErr w:type="spellEnd"/>
      <w:r>
        <w:rPr>
          <w:szCs w:val="28"/>
        </w:rPr>
        <w:t xml:space="preserve"> </w:t>
      </w:r>
      <w:r w:rsidR="00DA5795">
        <w:rPr>
          <w:szCs w:val="28"/>
        </w:rPr>
        <w:t xml:space="preserve">– </w:t>
      </w:r>
      <w:proofErr w:type="spellStart"/>
      <w:r>
        <w:rPr>
          <w:szCs w:val="28"/>
        </w:rPr>
        <w:t>Z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xi</w:t>
      </w:r>
      <w:proofErr w:type="spellEnd"/>
      <w:r>
        <w:rPr>
          <w:szCs w:val="28"/>
        </w:rPr>
        <w:t>, где:</w:t>
      </w:r>
    </w:p>
    <w:p w:rsidR="00FB01D0" w:rsidRDefault="00FB01D0" w:rsidP="00FB01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Z</w:t>
      </w:r>
      <w:proofErr w:type="gramEnd"/>
      <w:r>
        <w:rPr>
          <w:szCs w:val="28"/>
        </w:rPr>
        <w:t>дхi</w:t>
      </w:r>
      <w:proofErr w:type="spellEnd"/>
      <w:r>
        <w:rPr>
          <w:szCs w:val="28"/>
        </w:rPr>
        <w:t xml:space="preserve"> </w:t>
      </w:r>
      <w:r w:rsidR="00B6440A">
        <w:rPr>
          <w:szCs w:val="28"/>
        </w:rPr>
        <w:t>–</w:t>
      </w:r>
      <w:r>
        <w:rPr>
          <w:szCs w:val="28"/>
        </w:rPr>
        <w:t xml:space="preserve"> оценка изменения </w:t>
      </w:r>
      <w:r w:rsidR="00B6440A">
        <w:rPr>
          <w:szCs w:val="28"/>
        </w:rPr>
        <w:t xml:space="preserve">налогового потенциала, безвозмездных поступлений из бюджета Республики Карелия на выравнивание обеспеченности </w:t>
      </w:r>
      <w:r>
        <w:rPr>
          <w:szCs w:val="28"/>
        </w:rPr>
        <w:t xml:space="preserve">по соответствующему (i) муниципальному </w:t>
      </w:r>
      <w:r w:rsidR="00B6440A">
        <w:rPr>
          <w:szCs w:val="28"/>
        </w:rPr>
        <w:t xml:space="preserve">району (городскому округу) </w:t>
      </w:r>
      <w:r>
        <w:rPr>
          <w:szCs w:val="28"/>
        </w:rPr>
        <w:t>в текущем финансовом году по сравнению с отчетным финансовым годом;</w:t>
      </w:r>
    </w:p>
    <w:p w:rsidR="00FB01D0" w:rsidRDefault="00FB01D0" w:rsidP="00B6440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lastRenderedPageBreak/>
        <w:t>Zрхi</w:t>
      </w:r>
      <w:proofErr w:type="spellEnd"/>
      <w:r>
        <w:rPr>
          <w:szCs w:val="28"/>
        </w:rPr>
        <w:t xml:space="preserve"> </w:t>
      </w:r>
      <w:r w:rsidR="00B6440A">
        <w:rPr>
          <w:szCs w:val="28"/>
        </w:rPr>
        <w:t>–</w:t>
      </w:r>
      <w:r>
        <w:rPr>
          <w:szCs w:val="28"/>
        </w:rPr>
        <w:t xml:space="preserve"> оценка изменения объема расходных обязательств в текущем финансовом году по сравнению с отчетным финансовым годом</w:t>
      </w:r>
      <w:proofErr w:type="gramStart"/>
      <w:r>
        <w:rPr>
          <w:szCs w:val="28"/>
        </w:rPr>
        <w:t>.».</w:t>
      </w:r>
      <w:proofErr w:type="gramEnd"/>
    </w:p>
    <w:p w:rsidR="00FB01D0" w:rsidRDefault="00B6440A" w:rsidP="00B644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>
        <w:rPr>
          <w:szCs w:val="28"/>
        </w:rPr>
        <w:t xml:space="preserve">2. </w:t>
      </w:r>
      <w:r w:rsidR="00FB01D0">
        <w:rPr>
          <w:szCs w:val="28"/>
        </w:rPr>
        <w:t xml:space="preserve"> Настоящее постановление распространяет свое действие на правоотношения, возникшие с 1 января 2015 года.</w:t>
      </w:r>
    </w:p>
    <w:p w:rsidR="00FB01D0" w:rsidRDefault="00FB01D0" w:rsidP="00FB01D0">
      <w:pPr>
        <w:autoSpaceDE w:val="0"/>
        <w:autoSpaceDN w:val="0"/>
        <w:adjustRightInd w:val="0"/>
        <w:ind w:left="540"/>
        <w:jc w:val="both"/>
        <w:rPr>
          <w:szCs w:val="28"/>
          <w:lang w:eastAsia="en-US"/>
        </w:rPr>
      </w:pPr>
    </w:p>
    <w:p w:rsidR="00FB01D0" w:rsidRDefault="00FB01D0" w:rsidP="00FB01D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01D0" w:rsidRDefault="00FB01D0" w:rsidP="00FB0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440A" w:rsidRDefault="00FB01D0" w:rsidP="00B644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01D0" w:rsidRDefault="00FB01D0" w:rsidP="00B644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B6440A">
        <w:rPr>
          <w:rFonts w:ascii="Times New Roman" w:hAnsi="Times New Roman" w:cs="Times New Roman"/>
          <w:sz w:val="28"/>
          <w:szCs w:val="28"/>
        </w:rPr>
        <w:tab/>
      </w:r>
      <w:r w:rsidR="00B6440A">
        <w:rPr>
          <w:rFonts w:ascii="Times New Roman" w:hAnsi="Times New Roman" w:cs="Times New Roman"/>
          <w:sz w:val="28"/>
          <w:szCs w:val="28"/>
        </w:rPr>
        <w:tab/>
      </w:r>
      <w:r w:rsidR="00B6440A">
        <w:rPr>
          <w:rFonts w:ascii="Times New Roman" w:hAnsi="Times New Roman" w:cs="Times New Roman"/>
          <w:sz w:val="28"/>
          <w:szCs w:val="28"/>
        </w:rPr>
        <w:tab/>
      </w:r>
      <w:r w:rsidR="00B6440A">
        <w:rPr>
          <w:rFonts w:ascii="Times New Roman" w:hAnsi="Times New Roman" w:cs="Times New Roman"/>
          <w:sz w:val="28"/>
          <w:szCs w:val="28"/>
        </w:rPr>
        <w:tab/>
      </w:r>
      <w:r w:rsidR="00B644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6440A"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 w:rsidR="00B6440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FB01D0" w:rsidRDefault="00FB01D0" w:rsidP="00FB0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01D0" w:rsidRDefault="00FB01D0" w:rsidP="00FB01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D0" w:rsidRDefault="00FB01D0" w:rsidP="00FB01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sectPr w:rsidR="00927C66" w:rsidRPr="00640893" w:rsidSect="004E614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3266"/>
      <w:docPartObj>
        <w:docPartGallery w:val="Page Numbers (Top of Page)"/>
        <w:docPartUnique/>
      </w:docPartObj>
    </w:sdtPr>
    <w:sdtEndPr/>
    <w:sdtContent>
      <w:p w:rsidR="00FB01D0" w:rsidRDefault="00CF6ABB">
        <w:pPr>
          <w:pStyle w:val="a7"/>
          <w:jc w:val="center"/>
        </w:pPr>
        <w:r>
          <w:fldChar w:fldCharType="begin"/>
        </w:r>
        <w:r w:rsidR="00FB01D0">
          <w:instrText>PAGE   \* MERGEFORMAT</w:instrText>
        </w:r>
        <w:r>
          <w:fldChar w:fldCharType="separate"/>
        </w:r>
        <w:r w:rsidR="001A0CDE">
          <w:rPr>
            <w:noProof/>
          </w:rPr>
          <w:t>4</w:t>
        </w:r>
        <w:r>
          <w:fldChar w:fldCharType="end"/>
        </w:r>
      </w:p>
    </w:sdtContent>
  </w:sdt>
  <w:p w:rsidR="00FB01D0" w:rsidRDefault="00FB01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66A"/>
    <w:multiLevelType w:val="hybridMultilevel"/>
    <w:tmpl w:val="DAE89608"/>
    <w:lvl w:ilvl="0" w:tplc="59847B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CDE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E614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0737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6440A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CF6ABB"/>
    <w:rsid w:val="00D2093B"/>
    <w:rsid w:val="00D22F40"/>
    <w:rsid w:val="00D42F13"/>
    <w:rsid w:val="00DA5795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01D0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uiPriority w:val="99"/>
    <w:rsid w:val="00FB01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2">
    <w:name w:val="footer"/>
    <w:basedOn w:val="a"/>
    <w:link w:val="af3"/>
    <w:uiPriority w:val="99"/>
    <w:unhideWhenUsed/>
    <w:rsid w:val="00FB01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B01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AFD9-7517-4C2D-A10E-DD64ECA0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2015-03-02T13:39:00Z</cp:lastPrinted>
  <dcterms:created xsi:type="dcterms:W3CDTF">2015-02-24T08:09:00Z</dcterms:created>
  <dcterms:modified xsi:type="dcterms:W3CDTF">2015-03-05T06:20:00Z</dcterms:modified>
</cp:coreProperties>
</file>