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3450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F36C9C3" wp14:editId="03E7241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134507" w:rsidP="00134507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24 июня 2016 года № 470р-П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477BC3" w:rsidRDefault="00477BC3" w:rsidP="00477BC3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10 Закона Республики Карелия                         от 24 декабря 2015 года № 1968-ЗРК «О бюджете Республики Карелия на 2016 год» и постановлением Правительства Республики Карелия </w:t>
      </w:r>
      <w:r w:rsidR="00864075">
        <w:rPr>
          <w:szCs w:val="28"/>
        </w:rPr>
        <w:br/>
      </w:r>
      <w:r>
        <w:rPr>
          <w:szCs w:val="28"/>
        </w:rPr>
        <w:t>от 23 марта 2009 года № 57-П «О порядке предоставления иных межбюджетных трансфертов местным бюджетам из бюджета Республики Карелия»:</w:t>
      </w:r>
    </w:p>
    <w:p w:rsidR="00477BC3" w:rsidRDefault="00477BC3" w:rsidP="00477BC3">
      <w:pPr>
        <w:ind w:right="424" w:firstLine="567"/>
        <w:jc w:val="both"/>
        <w:rPr>
          <w:szCs w:val="28"/>
        </w:rPr>
      </w:pPr>
      <w:r>
        <w:rPr>
          <w:szCs w:val="28"/>
        </w:rPr>
        <w:t>Установить распределение на 2016 год иных межбюджетных трансфертов бюджетам</w:t>
      </w:r>
      <w:r w:rsidRPr="00477BC3">
        <w:rPr>
          <w:szCs w:val="28"/>
        </w:rPr>
        <w:t xml:space="preserve"> </w:t>
      </w:r>
      <w:r>
        <w:rPr>
          <w:szCs w:val="28"/>
        </w:rPr>
        <w:t>муниципальных об</w:t>
      </w:r>
      <w:r w:rsidR="00864075">
        <w:rPr>
          <w:szCs w:val="28"/>
        </w:rPr>
        <w:t>разований на оказание содействия</w:t>
      </w:r>
      <w:r>
        <w:rPr>
          <w:szCs w:val="28"/>
        </w:rPr>
        <w:t xml:space="preserve"> трудоустройству незанятых инвалидов на оборудован</w:t>
      </w:r>
      <w:r w:rsidR="00864075">
        <w:rPr>
          <w:szCs w:val="28"/>
        </w:rPr>
        <w:t>ные (оснащенны</w:t>
      </w:r>
      <w:r>
        <w:rPr>
          <w:szCs w:val="28"/>
        </w:rPr>
        <w:t>е) для них рабочие места, зарезервированных на реализацию мероприятий по активной политике занятости населения и социальной поддержке безработных граждан согласно приложению.</w:t>
      </w:r>
    </w:p>
    <w:p w:rsidR="00477BC3" w:rsidRDefault="00477BC3" w:rsidP="00477BC3">
      <w:pPr>
        <w:ind w:right="424" w:firstLine="567"/>
        <w:jc w:val="both"/>
        <w:rPr>
          <w:szCs w:val="28"/>
        </w:rPr>
      </w:pPr>
    </w:p>
    <w:p w:rsidR="00477BC3" w:rsidRDefault="00477BC3" w:rsidP="00477BC3">
      <w:pPr>
        <w:ind w:left="-142" w:right="424" w:firstLine="567"/>
        <w:jc w:val="both"/>
        <w:rPr>
          <w:szCs w:val="28"/>
        </w:rPr>
      </w:pPr>
    </w:p>
    <w:p w:rsidR="00477BC3" w:rsidRDefault="00477BC3" w:rsidP="00477BC3">
      <w:pPr>
        <w:ind w:left="-142" w:right="424" w:firstLine="567"/>
        <w:jc w:val="both"/>
        <w:rPr>
          <w:szCs w:val="28"/>
        </w:rPr>
      </w:pPr>
    </w:p>
    <w:p w:rsidR="00477BC3" w:rsidRDefault="00477BC3" w:rsidP="00477BC3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477BC3" w:rsidRDefault="00477BC3" w:rsidP="00477BC3">
      <w:pPr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477BC3" w:rsidRDefault="00477BC3" w:rsidP="00477BC3">
      <w:pPr>
        <w:sectPr w:rsidR="00477BC3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477BC3" w:rsidTr="00477BC3">
        <w:tc>
          <w:tcPr>
            <w:tcW w:w="4503" w:type="dxa"/>
          </w:tcPr>
          <w:p w:rsidR="00477BC3" w:rsidRDefault="00477BC3">
            <w:pPr>
              <w:ind w:right="424"/>
            </w:pPr>
          </w:p>
        </w:tc>
        <w:tc>
          <w:tcPr>
            <w:tcW w:w="5068" w:type="dxa"/>
            <w:hideMark/>
          </w:tcPr>
          <w:p w:rsidR="00477BC3" w:rsidRDefault="00477BC3" w:rsidP="00477BC3">
            <w:pPr>
              <w:ind w:right="424"/>
            </w:pPr>
            <w:r>
              <w:t xml:space="preserve">Приложение </w:t>
            </w:r>
          </w:p>
          <w:p w:rsidR="00477BC3" w:rsidRDefault="00477BC3" w:rsidP="00477BC3">
            <w:pPr>
              <w:ind w:right="424"/>
            </w:pPr>
            <w:r>
              <w:t xml:space="preserve">к распоряжению Правительства Республики Карелия </w:t>
            </w:r>
          </w:p>
          <w:p w:rsidR="00477BC3" w:rsidRDefault="00477BC3" w:rsidP="00477BC3">
            <w:pPr>
              <w:ind w:right="424"/>
            </w:pPr>
            <w:r>
              <w:t xml:space="preserve">от </w:t>
            </w:r>
            <w:r w:rsidR="00134507">
              <w:t>24 ию</w:t>
            </w:r>
            <w:bookmarkStart w:id="0" w:name="_GoBack"/>
            <w:bookmarkEnd w:id="0"/>
            <w:r w:rsidR="00134507">
              <w:t>ня 2016 года № 470р-П</w:t>
            </w:r>
          </w:p>
        </w:tc>
      </w:tr>
    </w:tbl>
    <w:p w:rsidR="00477BC3" w:rsidRDefault="00477BC3" w:rsidP="00477BC3">
      <w:pPr>
        <w:ind w:right="424"/>
      </w:pPr>
    </w:p>
    <w:p w:rsidR="00477BC3" w:rsidRDefault="00477BC3" w:rsidP="00477BC3">
      <w:pPr>
        <w:ind w:right="424"/>
      </w:pPr>
    </w:p>
    <w:p w:rsidR="00477BC3" w:rsidRDefault="00477BC3" w:rsidP="00477BC3">
      <w:pPr>
        <w:ind w:right="424"/>
        <w:jc w:val="center"/>
      </w:pPr>
      <w:r>
        <w:t>Распределение</w:t>
      </w:r>
      <w:r w:rsidRPr="00477BC3">
        <w:rPr>
          <w:szCs w:val="28"/>
        </w:rPr>
        <w:t xml:space="preserve"> </w:t>
      </w:r>
      <w:r>
        <w:rPr>
          <w:szCs w:val="28"/>
        </w:rPr>
        <w:br/>
        <w:t>на 2016 год иных межбюджетных трансфертов бюджетам</w:t>
      </w:r>
      <w:r w:rsidRPr="00477BC3">
        <w:rPr>
          <w:szCs w:val="28"/>
        </w:rPr>
        <w:t xml:space="preserve"> </w:t>
      </w:r>
      <w:r>
        <w:rPr>
          <w:szCs w:val="28"/>
        </w:rPr>
        <w:t>муниципальных об</w:t>
      </w:r>
      <w:r w:rsidR="00864075">
        <w:rPr>
          <w:szCs w:val="28"/>
        </w:rPr>
        <w:t>разований на оказание содействия</w:t>
      </w:r>
      <w:r>
        <w:rPr>
          <w:szCs w:val="28"/>
        </w:rPr>
        <w:t xml:space="preserve"> трудоустройству незанятых инвалидов на оборудован</w:t>
      </w:r>
      <w:r w:rsidR="00864075">
        <w:rPr>
          <w:szCs w:val="28"/>
        </w:rPr>
        <w:t>ные (оснащенны</w:t>
      </w:r>
      <w:r>
        <w:rPr>
          <w:szCs w:val="28"/>
        </w:rPr>
        <w:t>е) для них рабочие места, зарезервированных на реализацию мероприятий по активной политике занятости населения и социальной поддержке безработных граждан</w:t>
      </w:r>
    </w:p>
    <w:p w:rsidR="00477BC3" w:rsidRDefault="00477BC3" w:rsidP="00477BC3">
      <w:pPr>
        <w:spacing w:before="120"/>
        <w:ind w:right="-1"/>
        <w:jc w:val="right"/>
        <w:rPr>
          <w:szCs w:val="28"/>
        </w:rPr>
      </w:pPr>
    </w:p>
    <w:p w:rsidR="00477BC3" w:rsidRPr="00477BC3" w:rsidRDefault="00F83001" w:rsidP="00477BC3">
      <w:pPr>
        <w:spacing w:before="120"/>
        <w:ind w:right="-1"/>
        <w:jc w:val="right"/>
        <w:rPr>
          <w:szCs w:val="28"/>
        </w:rPr>
      </w:pPr>
      <w:r>
        <w:rPr>
          <w:szCs w:val="28"/>
        </w:rPr>
        <w:t xml:space="preserve"> (</w:t>
      </w:r>
      <w:r w:rsidR="00477BC3" w:rsidRPr="00477BC3">
        <w:rPr>
          <w:szCs w:val="28"/>
        </w:rPr>
        <w:t>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5244"/>
        <w:gridCol w:w="2517"/>
      </w:tblGrid>
      <w:tr w:rsidR="00477BC3" w:rsidRPr="00477BC3" w:rsidTr="008640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5" w:rsidRDefault="00864075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77BC3" w:rsidRPr="00477BC3" w:rsidRDefault="00864075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раздела или</w:t>
            </w:r>
            <w:r w:rsidR="00477BC3" w:rsidRPr="00477BC3">
              <w:rPr>
                <w:szCs w:val="28"/>
              </w:rPr>
              <w:t xml:space="preserve"> пункта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C3" w:rsidRPr="00477BC3" w:rsidRDefault="00477BC3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477BC3">
              <w:rPr>
                <w:szCs w:val="28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C3" w:rsidRPr="00477BC3" w:rsidRDefault="00477BC3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77BC3">
              <w:rPr>
                <w:szCs w:val="28"/>
              </w:rPr>
              <w:t>Сумма</w:t>
            </w:r>
          </w:p>
        </w:tc>
      </w:tr>
      <w:tr w:rsidR="00477BC3" w:rsidRPr="00477BC3" w:rsidTr="008640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C3" w:rsidRPr="00477BC3" w:rsidRDefault="00864075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477BC3" w:rsidRPr="00477BC3">
              <w:rPr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C3" w:rsidRPr="00477BC3" w:rsidRDefault="00477BC3" w:rsidP="00477BC3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Городские </w:t>
            </w:r>
            <w:r w:rsidRPr="00477BC3">
              <w:rPr>
                <w:szCs w:val="28"/>
              </w:rPr>
              <w:t>округ</w:t>
            </w:r>
            <w:r>
              <w:rPr>
                <w:szCs w:val="28"/>
              </w:rPr>
              <w:t>а</w:t>
            </w:r>
            <w:r w:rsidRPr="00477BC3">
              <w:rPr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C3" w:rsidRPr="00477BC3" w:rsidRDefault="00477BC3">
            <w:pPr>
              <w:spacing w:before="60" w:after="60"/>
              <w:ind w:right="-1"/>
              <w:jc w:val="center"/>
              <w:rPr>
                <w:szCs w:val="28"/>
              </w:rPr>
            </w:pPr>
          </w:p>
        </w:tc>
      </w:tr>
      <w:tr w:rsidR="00477BC3" w:rsidRPr="00477BC3" w:rsidTr="008640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C3" w:rsidRPr="00477BC3" w:rsidRDefault="00477BC3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77BC3">
              <w:rPr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C3" w:rsidRPr="00477BC3" w:rsidRDefault="00477BC3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77BC3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C3" w:rsidRPr="00477BC3" w:rsidRDefault="00864075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255 650,0</w:t>
            </w:r>
          </w:p>
        </w:tc>
      </w:tr>
      <w:tr w:rsidR="00477BC3" w:rsidRPr="00477BC3" w:rsidTr="008640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C3" w:rsidRPr="00477BC3" w:rsidRDefault="00864075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="00477BC3" w:rsidRPr="00477BC3">
              <w:rPr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C3" w:rsidRPr="00477BC3" w:rsidRDefault="008640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Муниципальные</w:t>
            </w:r>
            <w:r w:rsidR="00477BC3" w:rsidRPr="00477BC3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ы</w:t>
            </w:r>
            <w:r w:rsidR="00477BC3" w:rsidRPr="00477BC3">
              <w:rPr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C3" w:rsidRPr="00477BC3" w:rsidRDefault="00477BC3">
            <w:pPr>
              <w:spacing w:before="60" w:after="60"/>
              <w:ind w:right="-1"/>
              <w:jc w:val="center"/>
              <w:rPr>
                <w:szCs w:val="28"/>
              </w:rPr>
            </w:pPr>
          </w:p>
        </w:tc>
      </w:tr>
      <w:tr w:rsidR="00477BC3" w:rsidRPr="00477BC3" w:rsidTr="008640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C3" w:rsidRPr="00477BC3" w:rsidRDefault="00477BC3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77BC3">
              <w:rPr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C3" w:rsidRPr="00477BC3" w:rsidRDefault="00477BC3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77BC3">
              <w:rPr>
                <w:szCs w:val="28"/>
              </w:rPr>
              <w:t>Калевальский</w:t>
            </w:r>
            <w:proofErr w:type="spellEnd"/>
            <w:r w:rsidRPr="00477BC3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C3" w:rsidRPr="00477BC3" w:rsidRDefault="00864075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133875,0</w:t>
            </w:r>
          </w:p>
        </w:tc>
      </w:tr>
      <w:tr w:rsidR="00864075" w:rsidRPr="00477BC3" w:rsidTr="008640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5" w:rsidRPr="00477BC3" w:rsidRDefault="00864075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77BC3">
              <w:rPr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75" w:rsidRPr="00477BC3" w:rsidRDefault="00864075" w:rsidP="005B236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77BC3">
              <w:rPr>
                <w:szCs w:val="28"/>
              </w:rPr>
              <w:t>Питкярантский</w:t>
            </w:r>
            <w:proofErr w:type="spellEnd"/>
            <w:r w:rsidRPr="00477BC3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5" w:rsidRPr="00477BC3" w:rsidRDefault="00864075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127825,0</w:t>
            </w:r>
          </w:p>
        </w:tc>
      </w:tr>
      <w:tr w:rsidR="00864075" w:rsidRPr="00477BC3" w:rsidTr="008640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5" w:rsidRPr="00477BC3" w:rsidRDefault="00864075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77BC3">
              <w:rPr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75" w:rsidRPr="00477BC3" w:rsidRDefault="00864075" w:rsidP="008640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77BC3">
              <w:rPr>
                <w:szCs w:val="28"/>
              </w:rPr>
              <w:t>Пр</w:t>
            </w:r>
            <w:r>
              <w:rPr>
                <w:szCs w:val="28"/>
              </w:rPr>
              <w:t>яжинский</w:t>
            </w:r>
            <w:proofErr w:type="spellEnd"/>
            <w:r w:rsidRPr="00477BC3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5" w:rsidRPr="00477BC3" w:rsidRDefault="00864075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127825,0</w:t>
            </w:r>
          </w:p>
        </w:tc>
      </w:tr>
      <w:tr w:rsidR="00864075" w:rsidRPr="00477BC3" w:rsidTr="008640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5" w:rsidRPr="00477BC3" w:rsidRDefault="00864075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77BC3">
              <w:rPr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75" w:rsidRPr="00477BC3" w:rsidRDefault="00864075" w:rsidP="00FD7631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77BC3"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5" w:rsidRPr="00477BC3" w:rsidRDefault="00864075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127825,0</w:t>
            </w:r>
          </w:p>
        </w:tc>
      </w:tr>
      <w:tr w:rsidR="00864075" w:rsidRPr="00477BC3" w:rsidTr="008640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75" w:rsidRPr="00477BC3" w:rsidRDefault="00864075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5" w:rsidRPr="00477BC3" w:rsidRDefault="00864075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77BC3">
              <w:rPr>
                <w:szCs w:val="28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5" w:rsidRPr="00477BC3" w:rsidRDefault="00864075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773 000,0</w:t>
            </w:r>
          </w:p>
        </w:tc>
      </w:tr>
    </w:tbl>
    <w:p w:rsidR="00477BC3" w:rsidRDefault="00864075" w:rsidP="00477BC3">
      <w:pPr>
        <w:ind w:right="424"/>
        <w:jc w:val="center"/>
      </w:pPr>
      <w:r>
        <w:t>___________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4507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77BC3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64075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3001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C1E2-B758-4156-9B1A-C7469F32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2016-06-24T09:41:00Z</cp:lastPrinted>
  <dcterms:created xsi:type="dcterms:W3CDTF">2016-06-22T06:39:00Z</dcterms:created>
  <dcterms:modified xsi:type="dcterms:W3CDTF">2016-06-24T09:42:00Z</dcterms:modified>
</cp:coreProperties>
</file>