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676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67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6761">
        <w:t>17 августа 2017 года № 466</w:t>
      </w:r>
      <w:r w:rsidR="0082676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54359" w:rsidRDefault="00454359" w:rsidP="00454359">
      <w:pPr>
        <w:spacing w:after="120"/>
        <w:ind w:left="-142" w:right="424" w:firstLine="567"/>
        <w:jc w:val="both"/>
        <w:rPr>
          <w:szCs w:val="28"/>
        </w:rPr>
      </w:pPr>
    </w:p>
    <w:p w:rsidR="00454359" w:rsidRDefault="00454359" w:rsidP="0045435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873B53">
        <w:rPr>
          <w:szCs w:val="28"/>
        </w:rPr>
        <w:t>о статьей</w:t>
      </w:r>
      <w:r>
        <w:rPr>
          <w:szCs w:val="28"/>
        </w:rPr>
        <w:t xml:space="preserve">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Государственного казенного учреждения Республики Карелия «Управление земельными ресурсами» осуществить перевод одиннадцати земельных участков общей площадью 16 500 кв. м, расположенных на территории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 района Республики Карелия, из состава земель запаса в земли сельскохозяйственного назначения согласно приложению.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</w:pPr>
    </w:p>
    <w:p w:rsidR="00700984" w:rsidRDefault="00700984" w:rsidP="00AC0878">
      <w:pPr>
        <w:pStyle w:val="ConsPlusNormal"/>
        <w:ind w:firstLine="0"/>
        <w:rPr>
          <w:sz w:val="28"/>
          <w:szCs w:val="28"/>
        </w:rPr>
        <w:sectPr w:rsidR="00700984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00984" w:rsidRDefault="00700984" w:rsidP="00700984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700984" w:rsidRDefault="00700984" w:rsidP="00700984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700984" w:rsidRDefault="00700984" w:rsidP="00700984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826761">
        <w:rPr>
          <w:sz w:val="28"/>
          <w:szCs w:val="28"/>
        </w:rPr>
        <w:t xml:space="preserve"> 17 августа 2017 года № 466</w:t>
      </w:r>
      <w:bookmarkStart w:id="0" w:name="_GoBack"/>
      <w:bookmarkEnd w:id="0"/>
      <w:r w:rsidR="00826761" w:rsidRPr="00826761">
        <w:rPr>
          <w:sz w:val="28"/>
          <w:szCs w:val="28"/>
        </w:rPr>
        <w:t>р-П</w:t>
      </w:r>
    </w:p>
    <w:p w:rsidR="00700984" w:rsidRDefault="00700984" w:rsidP="00700984">
      <w:pPr>
        <w:pStyle w:val="ConsPlusNormal"/>
        <w:ind w:firstLine="4820"/>
        <w:rPr>
          <w:sz w:val="28"/>
          <w:szCs w:val="28"/>
        </w:rPr>
      </w:pPr>
    </w:p>
    <w:p w:rsidR="00700984" w:rsidRDefault="00700984" w:rsidP="0070098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  <w:r w:rsidR="00080D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отношении </w:t>
      </w:r>
      <w:r w:rsidRPr="00700984">
        <w:rPr>
          <w:sz w:val="28"/>
          <w:szCs w:val="28"/>
        </w:rPr>
        <w:t xml:space="preserve">которых осуществляется перевод из состава </w:t>
      </w:r>
      <w:r>
        <w:rPr>
          <w:sz w:val="28"/>
          <w:szCs w:val="28"/>
        </w:rPr>
        <w:br/>
      </w:r>
      <w:r w:rsidRPr="00700984">
        <w:rPr>
          <w:sz w:val="28"/>
          <w:szCs w:val="28"/>
        </w:rPr>
        <w:t>земель запаса в земли сельскохозяйственного назначения</w:t>
      </w:r>
      <w:r>
        <w:rPr>
          <w:sz w:val="28"/>
          <w:szCs w:val="28"/>
        </w:rPr>
        <w:t xml:space="preserve"> </w:t>
      </w:r>
    </w:p>
    <w:p w:rsidR="009D43B2" w:rsidRDefault="009D43B2" w:rsidP="00700984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9"/>
        <w:gridCol w:w="3050"/>
        <w:gridCol w:w="1308"/>
        <w:gridCol w:w="4543"/>
      </w:tblGrid>
      <w:tr w:rsidR="00700984" w:rsidTr="009D43B2">
        <w:tc>
          <w:tcPr>
            <w:tcW w:w="669" w:type="dxa"/>
          </w:tcPr>
          <w:p w:rsidR="00700984" w:rsidRDefault="00700984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50" w:type="dxa"/>
          </w:tcPr>
          <w:p w:rsidR="00700984" w:rsidRDefault="00700984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08" w:type="dxa"/>
          </w:tcPr>
          <w:p w:rsidR="00700984" w:rsidRDefault="00700984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4543" w:type="dxa"/>
          </w:tcPr>
          <w:p w:rsidR="00700984" w:rsidRDefault="00700984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700984" w:rsidTr="009D43B2">
        <w:tc>
          <w:tcPr>
            <w:tcW w:w="669" w:type="dxa"/>
          </w:tcPr>
          <w:p w:rsidR="00700984" w:rsidRDefault="00700984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0" w:type="dxa"/>
          </w:tcPr>
          <w:p w:rsidR="00700984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10:16:0070301:50</w:t>
            </w:r>
          </w:p>
        </w:tc>
        <w:tc>
          <w:tcPr>
            <w:tcW w:w="1308" w:type="dxa"/>
          </w:tcPr>
          <w:p w:rsidR="00700984" w:rsidRDefault="00700984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700984" w:rsidRDefault="009D43B2" w:rsidP="009D43B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10:16:0070301:51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10:16:0070301:52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10:16:0070301:53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>
              <w:rPr>
                <w:sz w:val="28"/>
                <w:szCs w:val="28"/>
              </w:rPr>
              <w:t>у</w:t>
            </w:r>
            <w:r w:rsidR="00080D12">
              <w:rPr>
                <w:sz w:val="28"/>
                <w:szCs w:val="28"/>
              </w:rPr>
              <w:t>р</w:t>
            </w:r>
            <w:proofErr w:type="spellEnd"/>
            <w:r w:rsidR="00080D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10:16:0070301:54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10:16:0070301:55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10:16:0070301:56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10:16:0070301:57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10:16:0070301:58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10:16:0070301:59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50" w:type="dxa"/>
          </w:tcPr>
          <w:p w:rsidR="009D43B2" w:rsidRDefault="009D43B2" w:rsidP="00080D1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10:16:0070301:60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Лоймольское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урочище </w:t>
            </w:r>
            <w:proofErr w:type="spellStart"/>
            <w:r>
              <w:rPr>
                <w:sz w:val="28"/>
                <w:szCs w:val="28"/>
              </w:rPr>
              <w:t>Корписелькя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D43B2" w:rsidTr="009D43B2">
        <w:tc>
          <w:tcPr>
            <w:tcW w:w="669" w:type="dxa"/>
          </w:tcPr>
          <w:p w:rsidR="009D43B2" w:rsidRDefault="009D43B2" w:rsidP="0070098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08" w:type="dxa"/>
          </w:tcPr>
          <w:p w:rsidR="009D43B2" w:rsidRDefault="009D43B2" w:rsidP="00FE45E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4543" w:type="dxa"/>
          </w:tcPr>
          <w:p w:rsidR="009D43B2" w:rsidRDefault="009D43B2" w:rsidP="00FE45E6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700984" w:rsidRDefault="009D43B2" w:rsidP="0070098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70098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8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0D12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4359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984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26761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3B5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43B2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629D-35B3-4073-B503-2A566DDA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2017-08-17T11:40:00Z</cp:lastPrinted>
  <dcterms:created xsi:type="dcterms:W3CDTF">2017-08-07T09:37:00Z</dcterms:created>
  <dcterms:modified xsi:type="dcterms:W3CDTF">2017-08-17T11:40:00Z</dcterms:modified>
</cp:coreProperties>
</file>