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58628388" wp14:editId="565CD8F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</w:t>
      </w:r>
      <w:bookmarkStart w:id="0" w:name="_GoBack"/>
      <w:bookmarkEnd w:id="0"/>
      <w:r>
        <w:t xml:space="preserve">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704D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704DE">
        <w:t xml:space="preserve"> 28 декабря 2017 года № 746р-П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6A1025" w:rsidRDefault="006A1025" w:rsidP="00E764DF">
      <w:pPr>
        <w:tabs>
          <w:tab w:val="left" w:pos="8931"/>
        </w:tabs>
        <w:spacing w:before="240" w:after="120"/>
        <w:ind w:right="424"/>
        <w:jc w:val="center"/>
      </w:pPr>
    </w:p>
    <w:p w:rsidR="00AA52FA" w:rsidRDefault="00AA52FA" w:rsidP="00AA52FA">
      <w:pPr>
        <w:pStyle w:val="ConsPlusNormal"/>
        <w:ind w:firstLine="540"/>
        <w:jc w:val="both"/>
        <w:rPr>
          <w:rFonts w:eastAsiaTheme="minorHAnsi" w:cs="Arial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Внести в </w:t>
      </w:r>
      <w:r w:rsidRPr="00AA52FA">
        <w:rPr>
          <w:rFonts w:eastAsiaTheme="minorHAnsi"/>
          <w:sz w:val="28"/>
          <w:szCs w:val="28"/>
        </w:rPr>
        <w:t>распоряжение</w:t>
      </w:r>
      <w:r>
        <w:rPr>
          <w:rFonts w:eastAsiaTheme="minorHAnsi"/>
          <w:sz w:val="28"/>
          <w:szCs w:val="28"/>
        </w:rPr>
        <w:t xml:space="preserve"> Правительства Республики Карелия от 23 января 2017 года № 27р-П (Собрание законодательства Республики Карелия, 2017, </w:t>
      </w:r>
      <w:r w:rsidR="00F72760">
        <w:rPr>
          <w:rFonts w:eastAsiaTheme="minorHAnsi"/>
          <w:sz w:val="28"/>
          <w:szCs w:val="28"/>
        </w:rPr>
        <w:br/>
      </w:r>
      <w:r>
        <w:rPr>
          <w:rFonts w:eastAsiaTheme="minorHAnsi"/>
          <w:sz w:val="28"/>
          <w:szCs w:val="28"/>
        </w:rPr>
        <w:t>№</w:t>
      </w:r>
      <w:r w:rsidR="00F72760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1, ст. 104) с изменениями, внесенными распоряжениями Правительства Республики Карелия от 7 сентября 2017 года № 498р-П, от 22 ноября </w:t>
      </w:r>
      <w:r>
        <w:rPr>
          <w:rFonts w:eastAsiaTheme="minorHAnsi"/>
          <w:sz w:val="28"/>
          <w:szCs w:val="28"/>
        </w:rPr>
        <w:br/>
        <w:t xml:space="preserve">2017 года № 647р-П, изменение, изложив </w:t>
      </w:r>
      <w:r w:rsidRPr="00AA52FA">
        <w:rPr>
          <w:rFonts w:eastAsiaTheme="minorHAnsi"/>
          <w:sz w:val="28"/>
          <w:szCs w:val="28"/>
        </w:rPr>
        <w:t>приложение 1</w:t>
      </w:r>
      <w:r>
        <w:rPr>
          <w:rFonts w:eastAsiaTheme="minorHAnsi"/>
          <w:sz w:val="28"/>
          <w:szCs w:val="28"/>
        </w:rPr>
        <w:t xml:space="preserve"> в следующей редакции: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AA52FA" w:rsidRDefault="00AA52FA" w:rsidP="00AA52FA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</w:p>
    <w:p w:rsidR="00AA52FA" w:rsidRDefault="00AA52FA" w:rsidP="00AA52FA">
      <w:pPr>
        <w:pStyle w:val="ConsPlusNormal"/>
        <w:ind w:firstLine="540"/>
        <w:jc w:val="both"/>
        <w:rPr>
          <w:rFonts w:eastAsiaTheme="minorHAnsi"/>
          <w:sz w:val="28"/>
          <w:szCs w:val="28"/>
        </w:rPr>
      </w:pPr>
    </w:p>
    <w:p w:rsidR="00AA52FA" w:rsidRDefault="00AA52FA" w:rsidP="00294253">
      <w:pPr>
        <w:pStyle w:val="ConsPlusNormal"/>
        <w:ind w:left="5103" w:firstLine="0"/>
        <w:rPr>
          <w:rFonts w:eastAsia="Calibri"/>
          <w:sz w:val="26"/>
          <w:szCs w:val="26"/>
        </w:rPr>
      </w:pPr>
      <w:r>
        <w:rPr>
          <w:sz w:val="26"/>
          <w:szCs w:val="26"/>
        </w:rPr>
        <w:t>«Приложение 1 к распоряжению</w:t>
      </w:r>
    </w:p>
    <w:p w:rsidR="00AA52FA" w:rsidRDefault="00AA52FA" w:rsidP="00294253">
      <w:pPr>
        <w:pStyle w:val="ConsPlusNormal"/>
        <w:ind w:left="5103" w:firstLine="0"/>
        <w:rPr>
          <w:sz w:val="26"/>
          <w:szCs w:val="26"/>
        </w:rPr>
      </w:pPr>
      <w:r>
        <w:rPr>
          <w:sz w:val="26"/>
          <w:szCs w:val="26"/>
        </w:rPr>
        <w:t>Правительства Республики Карелия</w:t>
      </w:r>
    </w:p>
    <w:p w:rsidR="00AA52FA" w:rsidRDefault="00AA52FA" w:rsidP="00294253">
      <w:pPr>
        <w:pStyle w:val="ConsPlusNormal"/>
        <w:ind w:left="5103" w:firstLine="0"/>
        <w:rPr>
          <w:rFonts w:eastAsiaTheme="minorHAnsi" w:cs="Arial"/>
          <w:sz w:val="28"/>
          <w:szCs w:val="28"/>
        </w:rPr>
      </w:pPr>
      <w:r>
        <w:rPr>
          <w:sz w:val="26"/>
          <w:szCs w:val="26"/>
        </w:rPr>
        <w:t>от 23 января 2017 года № 27р-П</w:t>
      </w:r>
      <w:r>
        <w:rPr>
          <w:rFonts w:eastAsiaTheme="minorHAnsi"/>
          <w:sz w:val="28"/>
          <w:szCs w:val="28"/>
        </w:rPr>
        <w:t xml:space="preserve"> </w:t>
      </w:r>
    </w:p>
    <w:p w:rsidR="00AA52FA" w:rsidRDefault="00AA52FA" w:rsidP="00AA52FA">
      <w:pPr>
        <w:pStyle w:val="ConsPlusNormal"/>
        <w:ind w:firstLine="540"/>
        <w:jc w:val="right"/>
        <w:rPr>
          <w:rFonts w:eastAsiaTheme="minorHAnsi"/>
          <w:sz w:val="28"/>
          <w:szCs w:val="28"/>
        </w:rPr>
      </w:pPr>
    </w:p>
    <w:p w:rsidR="00AA52FA" w:rsidRDefault="00AA52FA" w:rsidP="00AA52FA">
      <w:pPr>
        <w:pStyle w:val="ConsPlusNormal"/>
        <w:ind w:firstLine="540"/>
        <w:jc w:val="right"/>
        <w:rPr>
          <w:rFonts w:eastAsiaTheme="minorHAnsi"/>
          <w:sz w:val="28"/>
          <w:szCs w:val="28"/>
        </w:rPr>
      </w:pPr>
    </w:p>
    <w:p w:rsidR="00AA52FA" w:rsidRDefault="00AA52FA" w:rsidP="00AA52FA">
      <w:pPr>
        <w:pStyle w:val="ConsPlusNormal"/>
        <w:ind w:firstLine="540"/>
        <w:jc w:val="right"/>
        <w:rPr>
          <w:rFonts w:eastAsiaTheme="minorHAnsi"/>
          <w:sz w:val="28"/>
          <w:szCs w:val="28"/>
        </w:rPr>
      </w:pPr>
    </w:p>
    <w:p w:rsidR="00AA52FA" w:rsidRPr="00AA52FA" w:rsidRDefault="00AA52FA" w:rsidP="00AA52FA">
      <w:pPr>
        <w:pStyle w:val="ConsPlusTitle"/>
        <w:jc w:val="center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A52FA">
        <w:rPr>
          <w:rFonts w:ascii="Times New Roman" w:hAnsi="Times New Roman" w:cs="Times New Roman"/>
          <w:sz w:val="28"/>
          <w:szCs w:val="28"/>
        </w:rPr>
        <w:t>рогнозируем</w:t>
      </w:r>
      <w:r>
        <w:rPr>
          <w:rFonts w:ascii="Times New Roman" w:hAnsi="Times New Roman" w:cs="Times New Roman"/>
          <w:sz w:val="28"/>
          <w:szCs w:val="28"/>
        </w:rPr>
        <w:t>ые поступления доходов бюджета Республики К</w:t>
      </w:r>
      <w:r w:rsidRPr="00AA52FA">
        <w:rPr>
          <w:rFonts w:ascii="Times New Roman" w:hAnsi="Times New Roman" w:cs="Times New Roman"/>
          <w:sz w:val="28"/>
          <w:szCs w:val="28"/>
        </w:rPr>
        <w:t xml:space="preserve">арелия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AA52FA">
        <w:rPr>
          <w:rFonts w:ascii="Times New Roman" w:eastAsiaTheme="minorHAnsi" w:hAnsi="Times New Roman"/>
          <w:sz w:val="28"/>
          <w:szCs w:val="28"/>
        </w:rPr>
        <w:t xml:space="preserve">по главным администраторам доходов на 2017 год </w:t>
      </w:r>
      <w:r>
        <w:rPr>
          <w:rFonts w:ascii="Times New Roman" w:eastAsiaTheme="minorHAnsi" w:hAnsi="Times New Roman"/>
          <w:sz w:val="28"/>
          <w:szCs w:val="28"/>
        </w:rPr>
        <w:br/>
      </w:r>
      <w:r w:rsidRPr="00AA52FA">
        <w:rPr>
          <w:rFonts w:ascii="Times New Roman" w:eastAsiaTheme="minorHAnsi" w:hAnsi="Times New Roman"/>
          <w:sz w:val="28"/>
          <w:szCs w:val="28"/>
        </w:rPr>
        <w:t xml:space="preserve">и на плановый период 2018 и 2019 годов </w:t>
      </w:r>
      <w:r w:rsidRPr="00AA52FA">
        <w:rPr>
          <w:rFonts w:ascii="Times New Roman" w:eastAsiaTheme="minorHAnsi" w:hAnsi="Times New Roman"/>
          <w:sz w:val="28"/>
          <w:szCs w:val="28"/>
        </w:rPr>
        <w:br w:type="page"/>
      </w:r>
    </w:p>
    <w:p w:rsidR="00AA52FA" w:rsidRDefault="00AA52FA" w:rsidP="00AA52FA">
      <w:pPr>
        <w:rPr>
          <w:rFonts w:eastAsiaTheme="minorHAnsi" w:cs="Arial"/>
          <w:szCs w:val="28"/>
        </w:rPr>
        <w:sectPr w:rsidR="00AA52FA" w:rsidSect="00AA52FA">
          <w:headerReference w:type="default" r:id="rId10"/>
          <w:pgSz w:w="11906" w:h="16838"/>
          <w:pgMar w:top="1134" w:right="992" w:bottom="1134" w:left="1418" w:header="709" w:footer="709" w:gutter="0"/>
          <w:cols w:space="720"/>
          <w:titlePg/>
          <w:docGrid w:linePitch="381"/>
        </w:sectPr>
      </w:pPr>
    </w:p>
    <w:p w:rsidR="00AA52FA" w:rsidRDefault="00AA52FA" w:rsidP="00AA52FA">
      <w:pPr>
        <w:pStyle w:val="ConsPlusNormal"/>
        <w:ind w:firstLine="540"/>
        <w:jc w:val="center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(тыс. рублей)</w:t>
      </w:r>
    </w:p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6"/>
        <w:gridCol w:w="1720"/>
      </w:tblGrid>
      <w:tr w:rsidR="00AA52FA" w:rsidTr="00AA52FA">
        <w:trPr>
          <w:trHeight w:val="372"/>
        </w:trPr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A" w:rsidRPr="00AA52FA" w:rsidRDefault="00AA52FA" w:rsidP="00AA5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52FA">
              <w:rPr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A" w:rsidRPr="00AA52FA" w:rsidRDefault="00AA52FA" w:rsidP="00AA5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52FA">
              <w:rPr>
                <w:bCs/>
                <w:color w:val="000000"/>
                <w:sz w:val="24"/>
                <w:szCs w:val="24"/>
              </w:rPr>
              <w:t>Наименование главного администратора доходов и вида (подвида) доходов бюджета Республики Карелия</w:t>
            </w:r>
          </w:p>
        </w:tc>
        <w:tc>
          <w:tcPr>
            <w:tcW w:w="48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2FA" w:rsidRPr="00AA52FA" w:rsidRDefault="00AA52FA" w:rsidP="00AA5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52FA">
              <w:rPr>
                <w:bCs/>
                <w:color w:val="000000"/>
                <w:sz w:val="24"/>
                <w:szCs w:val="24"/>
              </w:rPr>
              <w:t>Сумма доходов</w:t>
            </w:r>
          </w:p>
        </w:tc>
      </w:tr>
      <w:tr w:rsidR="00AA52FA" w:rsidTr="00AA52FA">
        <w:trPr>
          <w:trHeight w:val="809"/>
        </w:trPr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A" w:rsidRPr="00AA52FA" w:rsidRDefault="00AA52FA" w:rsidP="00AA5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52FA">
              <w:rPr>
                <w:bCs/>
                <w:color w:val="000000"/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AA52FA">
              <w:rPr>
                <w:bCs/>
                <w:color w:val="000000"/>
                <w:sz w:val="24"/>
                <w:szCs w:val="24"/>
              </w:rPr>
              <w:t>админи-стратора</w:t>
            </w:r>
            <w:proofErr w:type="spellEnd"/>
            <w:proofErr w:type="gramEnd"/>
            <w:r w:rsidRPr="00AA52FA">
              <w:rPr>
                <w:bCs/>
                <w:color w:val="000000"/>
                <w:sz w:val="24"/>
                <w:szCs w:val="24"/>
              </w:rPr>
              <w:t xml:space="preserve"> доходов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2FA" w:rsidRPr="00AA52FA" w:rsidRDefault="00AA52FA" w:rsidP="00AA5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52FA">
              <w:rPr>
                <w:bCs/>
                <w:color w:val="000000"/>
                <w:sz w:val="24"/>
                <w:szCs w:val="24"/>
              </w:rPr>
              <w:t>доходов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A" w:rsidRPr="00AA52FA" w:rsidRDefault="00AA52FA" w:rsidP="00AA52FA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2FA" w:rsidRPr="00AA52FA" w:rsidRDefault="00AA52FA" w:rsidP="00AA5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52FA">
              <w:rPr>
                <w:bCs/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15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2FA" w:rsidRPr="00AA52FA" w:rsidRDefault="00AA52FA" w:rsidP="00AA5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52FA">
              <w:rPr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2FA" w:rsidRPr="00AA52FA" w:rsidRDefault="00AA52FA" w:rsidP="00AA52F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A52FA">
              <w:rPr>
                <w:bCs/>
                <w:color w:val="000000"/>
                <w:sz w:val="24"/>
                <w:szCs w:val="24"/>
              </w:rPr>
              <w:t>2019 год</w:t>
            </w:r>
          </w:p>
        </w:tc>
      </w:tr>
      <w:tr w:rsidR="00AA52FA" w:rsidTr="00AA52FA">
        <w:trPr>
          <w:trHeight w:val="315"/>
          <w:tblHeader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350"/>
        </w:trPr>
        <w:tc>
          <w:tcPr>
            <w:tcW w:w="119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048</w:t>
            </w:r>
          </w:p>
        </w:tc>
        <w:tc>
          <w:tcPr>
            <w:tcW w:w="2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природопользования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100 555,0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50 103,0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50 603,0</w:t>
            </w: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1 12 01000 01 0000 120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100 555,0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50 103,0</w:t>
            </w:r>
          </w:p>
        </w:tc>
        <w:tc>
          <w:tcPr>
            <w:tcW w:w="1736" w:type="dxa"/>
            <w:gridSpan w:val="2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50 603,0</w:t>
            </w:r>
          </w:p>
        </w:tc>
      </w:tr>
      <w:tr w:rsidR="00AA52FA" w:rsidTr="00AA52FA">
        <w:trPr>
          <w:trHeight w:val="52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053</w:t>
            </w:r>
          </w:p>
        </w:tc>
        <w:tc>
          <w:tcPr>
            <w:tcW w:w="2620" w:type="dxa"/>
            <w:vAlign w:val="center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 w:rsidP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Федерального агентства лесного хозяйства</w:t>
            </w:r>
          </w:p>
        </w:tc>
        <w:tc>
          <w:tcPr>
            <w:tcW w:w="1559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560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736" w:type="dxa"/>
            <w:gridSpan w:val="2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AA52FA" w:rsidTr="00AA52FA">
        <w:trPr>
          <w:trHeight w:val="92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559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36" w:type="dxa"/>
            <w:gridSpan w:val="2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A52FA" w:rsidTr="00AA52FA">
        <w:trPr>
          <w:trHeight w:val="473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Федерального агентства по рыболовству</w:t>
            </w:r>
          </w:p>
        </w:tc>
        <w:tc>
          <w:tcPr>
            <w:tcW w:w="1559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70,0</w:t>
            </w:r>
          </w:p>
        </w:tc>
        <w:tc>
          <w:tcPr>
            <w:tcW w:w="1560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86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560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gridSpan w:val="2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9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096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по надзору в сфере связи, информационных технологий и массовых коммуникаций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  <w:tc>
          <w:tcPr>
            <w:tcW w:w="1736" w:type="dxa"/>
            <w:gridSpan w:val="2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160,0</w:t>
            </w:r>
          </w:p>
        </w:tc>
      </w:tr>
      <w:tr w:rsidR="00AA52FA" w:rsidTr="00AA52FA">
        <w:trPr>
          <w:trHeight w:val="143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1 08 07130 01 0000 110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736" w:type="dxa"/>
            <w:gridSpan w:val="2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AA52FA" w:rsidTr="00AA52FA">
        <w:trPr>
          <w:trHeight w:val="391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2620" w:type="dxa"/>
            <w:vAlign w:val="center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Федерального казначейства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1 987 524,0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1 612 324,0</w:t>
            </w:r>
          </w:p>
        </w:tc>
        <w:tc>
          <w:tcPr>
            <w:tcW w:w="1736" w:type="dxa"/>
            <w:gridSpan w:val="2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1 669 039,0</w:t>
            </w:r>
          </w:p>
        </w:tc>
      </w:tr>
    </w:tbl>
    <w:p w:rsidR="00AA52FA" w:rsidRDefault="00AA52FA"/>
    <w:p w:rsidR="00AA52FA" w:rsidRDefault="00AA52FA"/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9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2520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1 03 02140 01 0000 110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доходы от уплаты акцизов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подлежащие распределению в бюджеты субъектов Российской Федерации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325 746,0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12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1 03 02230 01 0000 110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577 639,0</w:t>
            </w:r>
          </w:p>
        </w:tc>
        <w:tc>
          <w:tcPr>
            <w:tcW w:w="1560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578 618,0</w:t>
            </w:r>
          </w:p>
        </w:tc>
        <w:tc>
          <w:tcPr>
            <w:tcW w:w="1736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503 585,0</w:t>
            </w:r>
          </w:p>
        </w:tc>
      </w:tr>
      <w:tr w:rsidR="00AA52FA" w:rsidTr="00AA52FA">
        <w:trPr>
          <w:trHeight w:val="15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1 03 02240 01 0000 110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sz w:val="24"/>
                <w:szCs w:val="24"/>
              </w:rPr>
              <w:t>инжекторных</w:t>
            </w:r>
            <w:proofErr w:type="spellEnd"/>
            <w:r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8 154,0</w:t>
            </w:r>
          </w:p>
        </w:tc>
        <w:tc>
          <w:tcPr>
            <w:tcW w:w="1560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9 182,0</w:t>
            </w:r>
          </w:p>
        </w:tc>
        <w:tc>
          <w:tcPr>
            <w:tcW w:w="1736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7 991,0</w:t>
            </w:r>
          </w:p>
        </w:tc>
      </w:tr>
      <w:tr w:rsidR="00AA52FA" w:rsidTr="00AA52FA">
        <w:trPr>
          <w:trHeight w:val="12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1 03 02250 01 0000 110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1 226 622,0</w:t>
            </w:r>
          </w:p>
        </w:tc>
        <w:tc>
          <w:tcPr>
            <w:tcW w:w="1560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1 087 813,0</w:t>
            </w:r>
          </w:p>
        </w:tc>
        <w:tc>
          <w:tcPr>
            <w:tcW w:w="1736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1 212 545,0</w:t>
            </w:r>
          </w:p>
        </w:tc>
      </w:tr>
      <w:tr w:rsidR="00AA52FA" w:rsidTr="00AA52FA">
        <w:trPr>
          <w:trHeight w:val="12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1 03 02260 01 0000 110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-150 637,0</w:t>
            </w:r>
          </w:p>
        </w:tc>
        <w:tc>
          <w:tcPr>
            <w:tcW w:w="1560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-63 289,0</w:t>
            </w:r>
          </w:p>
        </w:tc>
        <w:tc>
          <w:tcPr>
            <w:tcW w:w="1736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-55 082,0</w:t>
            </w:r>
          </w:p>
        </w:tc>
      </w:tr>
    </w:tbl>
    <w:p w:rsidR="00AA52FA" w:rsidRDefault="00AA52FA"/>
    <w:p w:rsidR="00AA52FA" w:rsidRDefault="00AA52FA"/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8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533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106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vAlign w:val="center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территориальный орган Федеральной службы по надзору в сфере транспорта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1 695,0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1 700,0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1 700,0</w:t>
            </w:r>
          </w:p>
        </w:tc>
      </w:tr>
      <w:tr w:rsidR="00AA52FA" w:rsidTr="00AA52FA">
        <w:trPr>
          <w:trHeight w:val="102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195,0</w:t>
            </w:r>
          </w:p>
        </w:tc>
        <w:tc>
          <w:tcPr>
            <w:tcW w:w="1560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1 040,0</w:t>
            </w:r>
          </w:p>
        </w:tc>
        <w:tc>
          <w:tcPr>
            <w:tcW w:w="1736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1 040,0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59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560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  <w:tc>
          <w:tcPr>
            <w:tcW w:w="1736" w:type="dxa"/>
            <w:noWrap/>
            <w:vAlign w:val="center"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660,0</w:t>
            </w:r>
          </w:p>
        </w:tc>
      </w:tr>
      <w:tr w:rsidR="00AA52FA" w:rsidTr="00AA52FA">
        <w:trPr>
          <w:trHeight w:val="42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Федеральной антимонопольной службы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AA52FA" w:rsidTr="00AA52FA">
        <w:trPr>
          <w:trHeight w:val="43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AA52FA" w:rsidTr="00AA52FA">
        <w:trPr>
          <w:trHeight w:val="135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A52FA" w:rsidTr="00AA52FA">
        <w:trPr>
          <w:trHeight w:val="9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177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Российской Федерации по делам гражданской обороны, чрезвычайным ситуациям и ликвидации последствий стихийных бедствий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900,0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1 16 27000 01 0000 140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пожарной безопасности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налоговой службы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18 952 292,0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19 767 000,0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20 424 033,0</w:t>
            </w:r>
          </w:p>
        </w:tc>
      </w:tr>
      <w:tr w:rsidR="00AA52FA" w:rsidTr="00AA52FA">
        <w:trPr>
          <w:trHeight w:val="79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1 01 01012 02 0000 110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3 660 000,0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3 846 294,0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4 001 000,0</w:t>
            </w:r>
          </w:p>
        </w:tc>
      </w:tr>
      <w:tr w:rsidR="00AA52FA" w:rsidTr="00AA52FA">
        <w:trPr>
          <w:trHeight w:val="67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1 01 01014 02 0000 110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1 897 099,7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1 911 960,0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1 721 000,0</w:t>
            </w:r>
          </w:p>
        </w:tc>
      </w:tr>
      <w:tr w:rsidR="00AA52FA" w:rsidTr="00AA52FA">
        <w:trPr>
          <w:trHeight w:val="28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1316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1 01 02010 01 0000 110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7 804 330,0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8 157 829,0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8 730 226,0</w:t>
            </w:r>
          </w:p>
        </w:tc>
      </w:tr>
      <w:tr w:rsidR="00AA52FA" w:rsidTr="00AA52FA">
        <w:trPr>
          <w:trHeight w:val="2137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1 01 02020 01 0000 110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44 455,0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46 975,0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49 409,0</w:t>
            </w:r>
          </w:p>
        </w:tc>
      </w:tr>
      <w:tr w:rsidR="00AA52FA" w:rsidTr="00AA52FA">
        <w:trPr>
          <w:trHeight w:val="79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1 01 02030 01 0000 110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57 089,0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60 351,0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63 471,0</w:t>
            </w:r>
          </w:p>
        </w:tc>
      </w:tr>
      <w:tr w:rsidR="00AA52FA" w:rsidTr="00AA52FA">
        <w:trPr>
          <w:trHeight w:val="16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1 01 02040 01 0000 110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46 126,0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48 345,0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50 394,0</w:t>
            </w:r>
          </w:p>
        </w:tc>
      </w:tr>
      <w:tr w:rsidR="00AA52FA" w:rsidTr="00AA52FA">
        <w:trPr>
          <w:trHeight w:val="46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1 03 02100 01 0000 110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10 019,0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10 119,0</w:t>
            </w:r>
          </w:p>
        </w:tc>
      </w:tr>
      <w:tr w:rsidR="00AA52FA" w:rsidTr="00AA52FA">
        <w:trPr>
          <w:trHeight w:val="234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1 03 02110 01 0000 110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акцизы на алкогольную продукцию с объемной долей этилового спирта свыше 9 процентов (за исключением пива, вин, фруктовых вин, игристых вин (шампанских), винных напитков, изготавливаемых без добавления ректификованного этилового спирта, произведенного из пищевого сырья, и (или) спиртованных виноградного или иного фруктового сусла, и (или) винного дистиллята, и (или) фруктового дистиллята), производимую на территории Российской Федерации</w:t>
            </w:r>
            <w:proofErr w:type="gramEnd"/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144 279,0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335 895,0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355 663,0</w:t>
            </w:r>
          </w:p>
        </w:tc>
      </w:tr>
      <w:tr w:rsidR="00AA52FA" w:rsidTr="00AA52FA">
        <w:trPr>
          <w:trHeight w:val="28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497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1 05 01010 01 0000 110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895 086,3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908 040,0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912 160,0</w:t>
            </w:r>
          </w:p>
        </w:tc>
      </w:tr>
      <w:tr w:rsidR="00AA52FA" w:rsidTr="00AA52FA">
        <w:trPr>
          <w:trHeight w:val="70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1 05 01012 01 0000 110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 (за налоговые периоды, истекшие до 1 января 2011 года)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1 05 01020 01 0000 110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621 355,0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623 960,0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628 079,0</w:t>
            </w: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1 06 02000 02 0000 110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налог на имущество организаций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2 504 500,0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2 530 000,0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2 610 000,0</w:t>
            </w: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1 06 04000 02 0000 110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605 600,0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610 000,0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614 100,0</w:t>
            </w: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1 06 05000 02 0000 110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игорный бизнес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840,0</w:t>
            </w: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1 07 01020 01 0000 110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общераспространенных полезных ископаемых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190 000,0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1 07 01030 01 0000 110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425 000,0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440 000,0</w:t>
            </w: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1 07 04010 01 0000 110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животного мира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4 510,0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4 530,0</w:t>
            </w:r>
          </w:p>
        </w:tc>
      </w:tr>
      <w:tr w:rsidR="00AA52FA" w:rsidTr="00AA52FA">
        <w:trPr>
          <w:trHeight w:val="34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1 07 04020 01 0000 110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(исключая внутренние водные объекты)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39 010,0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41 050,0</w:t>
            </w:r>
          </w:p>
        </w:tc>
      </w:tr>
      <w:tr w:rsidR="00AA52FA" w:rsidTr="00AA52FA">
        <w:trPr>
          <w:trHeight w:val="33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1 07 04030 01 0000 110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за пользование объектами водных биологических ресурсов (по внутренним водным объектам)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420,0</w:t>
            </w:r>
          </w:p>
        </w:tc>
      </w:tr>
      <w:tr w:rsidR="00AA52FA" w:rsidTr="00AA52FA">
        <w:trPr>
          <w:trHeight w:val="83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1 08 02020 01 0000 110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по делам, рассматриваемым конституционными (уставными) судами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AA52FA" w:rsidTr="00AA52FA">
        <w:trPr>
          <w:trHeight w:val="153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1 08 07010 01 0000 110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70,0</w:t>
            </w:r>
          </w:p>
        </w:tc>
      </w:tr>
      <w:tr w:rsidR="00AA52FA" w:rsidTr="00AA52FA">
        <w:trPr>
          <w:trHeight w:val="441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1 12 02030 01 0000 120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регулярные платежи за пользование недрами при пользовании недрами на территории Российской Федерации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</w:tbl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5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945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1 16 03020 02 0000 140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статьей 129.2 Налогового кодекса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187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обороны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внутренних дел по Республике Карелия        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413 587,9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427 247,0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427 284,0</w:t>
            </w:r>
          </w:p>
        </w:tc>
      </w:tr>
      <w:tr w:rsidR="00AA52FA" w:rsidTr="00AA52FA">
        <w:trPr>
          <w:trHeight w:val="142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1 08 06000 01 0000 110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642,0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473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1 08 07100 01 0000 110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4 350,0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4 335,0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4 372,0</w:t>
            </w:r>
          </w:p>
        </w:tc>
      </w:tr>
      <w:tr w:rsidR="00AA52FA" w:rsidTr="00AA52FA">
        <w:trPr>
          <w:trHeight w:val="15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1 08 07141 01 0000 110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26 432,0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34 000,0</w:t>
            </w:r>
          </w:p>
        </w:tc>
      </w:tr>
      <w:tr w:rsidR="00AA52FA" w:rsidTr="00AA52FA">
        <w:trPr>
          <w:trHeight w:val="78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1 16 25072 02 0000 140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лесного законодательства на лесных участках, находящихся в собственности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44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1 16 26000 01 0000 140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денежные взыскания (штрафы) за  нарушение законодательства о рекламе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</w:tr>
      <w:tr w:rsidR="00AA52FA" w:rsidTr="00AA52FA">
        <w:trPr>
          <w:trHeight w:val="99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1 16 30012 01 0000 140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регионального или межмуниципального значения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327,0</w:t>
            </w:r>
          </w:p>
        </w:tc>
      </w:tr>
    </w:tbl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372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372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1 16 30020 01 0000 140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381 468,9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388 560,0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388 560,0</w:t>
            </w:r>
          </w:p>
        </w:tc>
      </w:tr>
      <w:tr w:rsidR="00AA52FA" w:rsidTr="00AA52FA">
        <w:trPr>
          <w:trHeight w:val="47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территориальные органы Министерства юстиции Российской Федерации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214,0</w:t>
            </w:r>
          </w:p>
        </w:tc>
      </w:tr>
      <w:tr w:rsidR="00AA52FA" w:rsidTr="00AA52FA">
        <w:trPr>
          <w:trHeight w:val="132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1 08 07110 01 0000 110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межрегиональных, региональных и местных общественных объединений, отделений общественных объединений, а также за государственную регистрацию изменений  их учредительных документов             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AA52FA" w:rsidTr="00AA52FA">
        <w:trPr>
          <w:trHeight w:val="6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1 08 07120 01 0000 110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государственную регистрацию политических партий и региональных отделений политических партий 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AA52FA" w:rsidTr="00AA52FA">
        <w:trPr>
          <w:trHeight w:val="5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территориальные органы Федеральной службы государственной регистрации, кадастра и картографии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56 545,0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57 030,0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57 515,0</w:t>
            </w:r>
          </w:p>
        </w:tc>
      </w:tr>
      <w:tr w:rsidR="00AA52FA" w:rsidTr="00AA52FA">
        <w:trPr>
          <w:trHeight w:val="67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1 08 07020 01 0000 110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56 545,0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57 030,0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57 515,0</w:t>
            </w: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здравоохранения Республики Карелия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328 367,7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86 757,1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85 097,5</w:t>
            </w:r>
          </w:p>
        </w:tc>
      </w:tr>
      <w:tr w:rsidR="00AA52FA" w:rsidTr="00AA52FA">
        <w:trPr>
          <w:trHeight w:val="4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6 082,4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83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2 500,0</w:t>
            </w:r>
          </w:p>
        </w:tc>
      </w:tr>
      <w:tr w:rsidR="00AA52FA" w:rsidTr="00AA52FA">
        <w:trPr>
          <w:trHeight w:val="9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2 02 25382 02 0000 151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реализацию отдельных мероприятий государственной программы Российской Федерации «Развитие здравоохранения»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10 641,6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10 298,7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10 074,7</w:t>
            </w:r>
          </w:p>
        </w:tc>
      </w:tr>
      <w:tr w:rsidR="00AA52FA" w:rsidTr="00AA52FA">
        <w:trPr>
          <w:trHeight w:val="1393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2 02 25402 02 0000 151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расходов, возникающих при оказании гражданам Российской Федерации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8 889,8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24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973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2 02 25554 02 0000 151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закупку авиационной услуги органами государственной власти субъектов Российской Федерации для оказания медицинской помощи с применением авиации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29 564,8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192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2 02 35460 02 0000 151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</w:t>
            </w:r>
            <w:proofErr w:type="gramEnd"/>
            <w:r>
              <w:rPr>
                <w:color w:val="000000"/>
                <w:sz w:val="24"/>
                <w:szCs w:val="24"/>
              </w:rPr>
              <w:t>, медицинскими изделиями по рецептам на медицинские изделия, а также специализированными продуктами лечебного питания для детей-инвалидов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186 792,5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74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2 02 45136 02 0000 151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осуществление единовременных выплат медицинским работникам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10 800,0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8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2 02 45161 02 0000 151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трансферты, передаваемые бюджетам субъектов Российской Федерации на реализацию отдельных полномочий в области лекарственного обеспечения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67 176,6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66 038,4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64 602,8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2 07 02030 02 0000 180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7 920,0</w:t>
            </w:r>
          </w:p>
        </w:tc>
      </w:tr>
      <w:tr w:rsidR="00AA52FA" w:rsidTr="00AA52FA">
        <w:trPr>
          <w:trHeight w:val="3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406 596,3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700,0</w:t>
            </w:r>
          </w:p>
        </w:tc>
      </w:tr>
      <w:tr w:rsidR="00AA52FA" w:rsidTr="00AA52FA">
        <w:trPr>
          <w:trHeight w:val="135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435,0</w:t>
            </w:r>
          </w:p>
        </w:tc>
      </w:tr>
      <w:tr w:rsidR="00AA52FA" w:rsidTr="00AA52FA">
        <w:trPr>
          <w:trHeight w:val="603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1 08 07300 01 0000 110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государственные пошлины за совершение прочих юридически значимых действий, подлежащие зачислению в бюджет субъекта Российской Федерации  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924,0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265,0</w:t>
            </w:r>
          </w:p>
        </w:tc>
      </w:tr>
      <w:tr w:rsidR="00AA52FA" w:rsidTr="00AA52FA">
        <w:trPr>
          <w:trHeight w:val="47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76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2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494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2 02 20051 02 0000 151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62 896,3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103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2 02 25027 02 0000 151</w:t>
            </w:r>
          </w:p>
        </w:tc>
        <w:tc>
          <w:tcPr>
            <w:tcW w:w="6542" w:type="dxa"/>
            <w:hideMark/>
          </w:tcPr>
          <w:p w:rsidR="00AA52FA" w:rsidRDefault="00AA52FA" w:rsidP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9 784,8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103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2 02 25097 02 0000 151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15 100,2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99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2 02 25520 02 0000 151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317 056,0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культуры Республики Карелия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144 146,1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367 100,0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95 200,0</w:t>
            </w:r>
          </w:p>
        </w:tc>
      </w:tr>
      <w:tr w:rsidR="00AA52FA" w:rsidTr="00AA52FA">
        <w:trPr>
          <w:trHeight w:val="6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</w:tr>
      <w:tr w:rsidR="00AA52FA" w:rsidTr="00AA52FA">
        <w:trPr>
          <w:trHeight w:val="552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87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130 000,0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271 900,0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90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2 02 25509 02 0000 151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подготовку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94 000,0</w:t>
            </w:r>
          </w:p>
        </w:tc>
      </w:tr>
      <w:tr w:rsidR="00AA52FA" w:rsidTr="00AA52FA">
        <w:trPr>
          <w:trHeight w:val="70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2 02 25519 02 0000 151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отрасли культуры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1 330,1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2FA" w:rsidRDefault="00AA52FA"/>
    <w:p w:rsidR="00AA52FA" w:rsidRDefault="00AA52FA"/>
    <w:p w:rsidR="00AA52FA" w:rsidRDefault="00AA52FA"/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1335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802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2 02 25558 02 0000 151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бюджетам субъектов Российской Федерации на обеспечение развития и укрепление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11 261,2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47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сельского, рыбного и охотничьего хозяйства Республики Карелия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176 071,8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115 345,1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112 792,1</w:t>
            </w:r>
          </w:p>
        </w:tc>
      </w:tr>
      <w:tr w:rsidR="00AA52FA" w:rsidTr="00AA52FA">
        <w:trPr>
          <w:trHeight w:val="327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1 08 07142 01 0000 110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>
              <w:rPr>
                <w:sz w:val="24"/>
                <w:szCs w:val="24"/>
              </w:rPr>
              <w:t>мототранспортных</w:t>
            </w:r>
            <w:proofErr w:type="spellEnd"/>
            <w:r>
              <w:rPr>
                <w:sz w:val="24"/>
                <w:szCs w:val="24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>
              <w:rPr>
                <w:sz w:val="24"/>
                <w:szCs w:val="24"/>
              </w:rPr>
              <w:t xml:space="preserve"> или пришедших в негодность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8 082,0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7 800,0</w:t>
            </w:r>
          </w:p>
        </w:tc>
      </w:tr>
      <w:tr w:rsidR="00AA52FA" w:rsidTr="00AA52FA">
        <w:trPr>
          <w:trHeight w:val="75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AA52FA" w:rsidTr="00AA52FA">
        <w:trPr>
          <w:trHeight w:val="49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918,0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50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2 02 20051 02 0000 151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15 704,4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79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802,0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2FA" w:rsidRDefault="00AA52FA"/>
    <w:p w:rsidR="00AA52FA" w:rsidRDefault="00AA52FA"/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8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1650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2 02 25526 02 0000 151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предоставление субсидий сельскохозяйственным товаропроизводителям на возмещение части затрат на уплату процентов по кредитам, полученным в российских кредитных организациях, на развитие </w:t>
            </w:r>
            <w:proofErr w:type="spellStart"/>
            <w:r>
              <w:rPr>
                <w:sz w:val="24"/>
                <w:szCs w:val="24"/>
              </w:rPr>
              <w:t>аквакультуры</w:t>
            </w:r>
            <w:proofErr w:type="spellEnd"/>
            <w:r>
              <w:rPr>
                <w:sz w:val="24"/>
                <w:szCs w:val="24"/>
              </w:rPr>
              <w:t xml:space="preserve"> (рыбоводство) и </w:t>
            </w:r>
            <w:proofErr w:type="gramStart"/>
            <w:r>
              <w:rPr>
                <w:sz w:val="24"/>
                <w:szCs w:val="24"/>
              </w:rPr>
              <w:t>товарного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осетроводства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12 587,1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9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2 02 25541 02 0000 151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10 465,2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10 187,1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9 988,1</w:t>
            </w:r>
          </w:p>
        </w:tc>
      </w:tr>
      <w:tr w:rsidR="00AA52FA" w:rsidTr="00AA52FA">
        <w:trPr>
          <w:trHeight w:val="6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2 02 25542 02 0000 151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повышение продуктивности в молочном скотоводстве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49 025,8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47 407,8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46 249,7</w:t>
            </w:r>
          </w:p>
        </w:tc>
      </w:tr>
      <w:tr w:rsidR="00AA52FA" w:rsidTr="00AA52FA">
        <w:trPr>
          <w:trHeight w:val="10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2 02 25543 02 0000 151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содействие достижению целевых показателей реализации региональных программ развития агропромышленного комплекса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50 620,8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48 950,2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47 754,3</w:t>
            </w:r>
          </w:p>
        </w:tc>
      </w:tr>
      <w:tr w:rsidR="00AA52FA" w:rsidTr="00AA52FA">
        <w:trPr>
          <w:trHeight w:val="793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2 02 25544 02 0000 151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26 866,5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Министерство экономического развития  и промышленности Республики Карелия  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51 844,3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35,0</w:t>
            </w:r>
          </w:p>
        </w:tc>
      </w:tr>
      <w:tr w:rsidR="00AA52FA" w:rsidTr="00AA52FA">
        <w:trPr>
          <w:trHeight w:val="13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совершение действий, связанных с лицензированием, с проведением аттестации в случаях,  если такая аттестация предусмотрена законодательством Российской Федерации, зачисляемая в бюджеты субъектов Российской Федерации  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</w:tr>
      <w:tr w:rsidR="00AA52FA" w:rsidTr="00AA52FA">
        <w:trPr>
          <w:trHeight w:val="6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25,7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857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2 02 25066 02 0000 151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подготовку управленческих кадров для организаций народного хозяйства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196,5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5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1305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2 02 25527 02 0000 151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51 556,1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3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финансов Республики Карелия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7 545 656,9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7 281 085,6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7 353 127,7</w:t>
            </w:r>
          </w:p>
        </w:tc>
      </w:tr>
      <w:tr w:rsidR="00AA52FA" w:rsidTr="00AA52FA">
        <w:trPr>
          <w:trHeight w:val="7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1 11 03020 02 0000 120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проценты, полученные от предоставления бюджетных кредитов внутри страны за счет средств бюджетов субъектов Российской Федерации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23 130,0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23 130,0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23 130,0</w:t>
            </w:r>
          </w:p>
        </w:tc>
      </w:tr>
      <w:tr w:rsidR="00AA52FA" w:rsidTr="00AA52FA">
        <w:trPr>
          <w:trHeight w:val="7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73,2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7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1 16 49020 02 0000 140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условий договоров (соглашений) о предоставлении субсидии бюджетам муниципальных образований из бюджета субъекта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3 714,0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2 02 15001 02 0000 151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выравнивание бюджетной обеспеченности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7 195 441,3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7 152 307,0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7 224 359,0</w:t>
            </w:r>
          </w:p>
        </w:tc>
      </w:tr>
      <w:tr w:rsidR="00AA52FA" w:rsidTr="00AA52FA">
        <w:trPr>
          <w:trHeight w:val="103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2 02 15009 02 0000 151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214 346,3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9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2 02 35118 02 0000 151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12 589,7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12 589,7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12 589,7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2 02 35900 02 0000 151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субвенция бюджетам субъектов Российской Федерации и бюджету г. Байконура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96 362,4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93 058,9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93 049,0</w:t>
            </w:r>
          </w:p>
        </w:tc>
      </w:tr>
      <w:tr w:rsidR="00AA52FA" w:rsidTr="00AA52FA">
        <w:trPr>
          <w:trHeight w:val="72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управлению государственным имуществом и организации закупок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251 929,9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257 939,0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202 268,0</w:t>
            </w:r>
          </w:p>
        </w:tc>
      </w:tr>
    </w:tbl>
    <w:p w:rsidR="00AA52FA" w:rsidRDefault="00AA52FA"/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9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975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1 11 01020 02 0000 120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субъектам Российской Федерации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18 500,0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8 500,0</w:t>
            </w:r>
          </w:p>
        </w:tc>
      </w:tr>
      <w:tr w:rsidR="00AA52FA" w:rsidTr="00AA52FA">
        <w:trPr>
          <w:trHeight w:val="15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1 11 05022 02 0000 120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субъектов Российской Федерации (за исключением земельных участков бюджетных и  автономных учреждений субъектов Российской Федерации)                  </w:t>
            </w:r>
            <w:proofErr w:type="gramEnd"/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24 500,0</w:t>
            </w:r>
          </w:p>
        </w:tc>
      </w:tr>
      <w:tr w:rsidR="00AA52FA" w:rsidTr="00AA52FA">
        <w:trPr>
          <w:trHeight w:val="128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1 11 05032 02 0000 120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 органов государственной власти субъектов Российской Федерации и созданных ими учреждений (за исключением имущества бюджетных и  автономных учреждений субъектов Российской Федерации)          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35 000,0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1 11 05072 02 0000 120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доходы от сдачи в аренду имущества, составляющего казну субъекта Российской Федерации (за исключением земельных участков)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40 000,0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72 000,0</w:t>
            </w:r>
          </w:p>
        </w:tc>
      </w:tr>
      <w:tr w:rsidR="00AA52FA" w:rsidTr="00AA52FA">
        <w:trPr>
          <w:trHeight w:val="9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1 11 07012 02 0000 120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перечисления части прибыли,  остающейся после уплаты налогов и иных обязательных платежей государственных  унитарных предприятий субъектов Российской Федерации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</w:tr>
      <w:tr w:rsidR="00AA52FA" w:rsidTr="00AA52FA">
        <w:trPr>
          <w:trHeight w:val="52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33,9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229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1 14 02023 02 0000 410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реализации иного имущества,  находящегося в собственности субъектов Российской Федерации (за исключением   имущества бюджетных и автономных учреждений субъектов Российской Федерации, а также имущества государственных унитарных предприятий субъектов Российской Федерации, в том числе казенных), в части реализации основных средств по указанному имуществу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126 350,0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110 339,0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53 268,0</w:t>
            </w:r>
          </w:p>
        </w:tc>
      </w:tr>
    </w:tbl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57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1110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1 14 06022 02 0000 430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продажи земельных участков,  находящихся в собственности субъектов  Российской Федерации (за исключением земельных участков бюджетных и автономных учреждений субъектов Российской  Федерации)                           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5 000,0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6 000,0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7 000,0</w:t>
            </w:r>
          </w:p>
        </w:tc>
      </w:tr>
      <w:tr w:rsidR="00AA52FA" w:rsidTr="00AA52FA">
        <w:trPr>
          <w:trHeight w:val="841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712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комитет Республики Карелия по обеспечению жизнедеятельности и безопасности населения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1 474,0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949,0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954,0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</w:tr>
      <w:tr w:rsidR="00AA52FA" w:rsidTr="00AA52FA">
        <w:trPr>
          <w:trHeight w:val="6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</w:tr>
      <w:tr w:rsidR="00AA52FA" w:rsidTr="00AA52FA">
        <w:trPr>
          <w:trHeight w:val="492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9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1 16 32000 02 0000 140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588,0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772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269,0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274,0</w:t>
            </w:r>
          </w:p>
        </w:tc>
      </w:tr>
      <w:tr w:rsidR="00AA52FA" w:rsidTr="00AA52FA">
        <w:trPr>
          <w:trHeight w:val="5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1 689 301,8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164 938,0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161 374,0</w:t>
            </w:r>
          </w:p>
        </w:tc>
      </w:tr>
      <w:tr w:rsidR="00AA52FA" w:rsidTr="00AA52FA">
        <w:trPr>
          <w:trHeight w:val="6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124,1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355,0</w:t>
            </w:r>
          </w:p>
        </w:tc>
      </w:tr>
      <w:tr w:rsidR="00AA52FA" w:rsidTr="00AA52FA">
        <w:trPr>
          <w:trHeight w:val="543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1 046,1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1245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72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639,0</w:t>
            </w:r>
          </w:p>
        </w:tc>
      </w:tr>
      <w:tr w:rsidR="00AA52FA" w:rsidTr="00AA52FA">
        <w:trPr>
          <w:trHeight w:val="46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2 02 20051 02 0000 151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федеральных целевых программ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465 638,0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77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2 02 20077 02 0000 151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169 290,0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163 944,0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160 380,0</w:t>
            </w:r>
          </w:p>
        </w:tc>
      </w:tr>
      <w:tr w:rsidR="00AA52FA" w:rsidTr="00AA52FA">
        <w:trPr>
          <w:trHeight w:val="108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2 02 25555 02 0000 151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130 285,5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2 02 25560 02 0000 151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обустройства мест массового отдыха населения (городских парков)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3 560,7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2 02 35485 02 0000 151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обеспечение жильем граждан, уволенных с военной службы (службы), и приравненных к ним лиц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22 002,4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2 02 49999 02 0000 151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межбюджетные трансферты, передаваемые бюджетам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102 600,0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22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2 03 02040 02 0000 180</w:t>
            </w:r>
          </w:p>
        </w:tc>
        <w:tc>
          <w:tcPr>
            <w:tcW w:w="6542" w:type="dxa"/>
            <w:hideMark/>
          </w:tcPr>
          <w:p w:rsidR="00AA52FA" w:rsidRDefault="00AA52FA" w:rsidP="0056592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безвозмездные поступления в бюджеты субъектов Российской Федерации от государственной корпорации </w:t>
            </w:r>
            <w:r w:rsidR="0056592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Фонда содействия реформированию жилищно-коммунального хозяйства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793 650,0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28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460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812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vAlign w:val="center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Государственный комитет Республики Карелия по ценам и тарифам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361,2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A52FA" w:rsidTr="00AA52FA">
        <w:trPr>
          <w:trHeight w:val="46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11,2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162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1 16 02030 02 0000 140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о государственном регулировании цен (тарифов) в части цен (тарифов), регулируемых органами государственной власти субъектов Российской Федерации, налагаемые органами исполнительной власти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52FA" w:rsidTr="00AA52FA">
        <w:trPr>
          <w:trHeight w:val="52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Министерство по делам молодежи, физической культуре и спорту Республики Карелия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6 739,5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AA52FA" w:rsidTr="00AA52FA">
        <w:trPr>
          <w:trHeight w:val="55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5,7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842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3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2 02 25081 02 0000 151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адресную финансовую поддержку спортивных организаций, осуществляющих подготовку спортивного резерва для сборных команд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6 733,8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3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Главы Республики Карелия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11 370,9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1 730,0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1 730,0</w:t>
            </w:r>
          </w:p>
        </w:tc>
      </w:tr>
      <w:tr w:rsidR="00AA52FA" w:rsidTr="00AA52FA">
        <w:trPr>
          <w:trHeight w:val="6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666,0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6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1 730,0</w:t>
            </w:r>
          </w:p>
        </w:tc>
      </w:tr>
      <w:tr w:rsidR="00AA52FA" w:rsidTr="00AA52FA">
        <w:trPr>
          <w:trHeight w:val="438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2FA" w:rsidRDefault="00AA52FA"/>
    <w:p w:rsidR="00AA52FA" w:rsidRDefault="00AA52FA"/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1050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1 16 21020 02 0000 140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129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752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103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2 02 45141 02 0000 151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деятельности депутатов Государственной Думы и их помощников в избирательных округах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6 100,0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9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2 02 45142 02 0000 151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2 656,0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39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819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Центральная избирательная комиссия Республики Карелия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259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819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26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Законодательное Собрание Республики Карелия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2 411,4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1 239,9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1 239,9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268,0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</w:tr>
      <w:tr w:rsidR="00AA52FA" w:rsidTr="00AA52FA">
        <w:trPr>
          <w:trHeight w:val="43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939,9</w:t>
            </w:r>
          </w:p>
        </w:tc>
      </w:tr>
    </w:tbl>
    <w:p w:rsidR="00AA52FA" w:rsidRDefault="00AA52FA"/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28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690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820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2 02 45142 02 0000 151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 на обеспечение членов Совета Федерации и их помощников в субъектах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2 123,4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487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Республики Карелия по обеспечению деятельности мировых судей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146,6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49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146,6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51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Управление записи актов гражданского состояния Республики Карелия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12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41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социальной защиты, труда и занятости Республики Карелия          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1 604 345,9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1 344 934,7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1 346 487,6</w:t>
            </w:r>
          </w:p>
        </w:tc>
      </w:tr>
      <w:tr w:rsidR="00AA52FA" w:rsidTr="00AA52FA">
        <w:trPr>
          <w:trHeight w:val="58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2 630,0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12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1 16 23021 02 0000 140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>
              <w:rPr>
                <w:sz w:val="24"/>
                <w:szCs w:val="24"/>
              </w:rPr>
              <w:t>выгодоприоб-ретателями</w:t>
            </w:r>
            <w:proofErr w:type="spellEnd"/>
            <w:r>
              <w:rPr>
                <w:sz w:val="24"/>
                <w:szCs w:val="24"/>
              </w:rPr>
              <w:t xml:space="preserve"> выступают получатели средств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103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9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2 02 25027 02 0000 151</w:t>
            </w:r>
          </w:p>
        </w:tc>
        <w:tc>
          <w:tcPr>
            <w:tcW w:w="6542" w:type="dxa"/>
            <w:hideMark/>
          </w:tcPr>
          <w:p w:rsidR="00AA52FA" w:rsidRDefault="00AA52FA" w:rsidP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 государственной программы Российской Федерации «Доступная среда» на 2011 – 2020 годы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21 165,9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2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1005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2 02 25082 02 0000 151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39 115,4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39 115,4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39 115,4</w:t>
            </w:r>
          </w:p>
        </w:tc>
      </w:tr>
      <w:tr w:rsidR="00AA52FA" w:rsidTr="00AA52FA">
        <w:trPr>
          <w:trHeight w:val="99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2 02 25084 02 0000 151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ежемесячную денежную выплату, назначаемую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203 667,9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16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2 02 25086 02 0000 151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реализацию мероприятий, предусмотренных региональной программой переселения, включенной в Государственную программу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1 099,8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18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2 02 25209 02 0000 151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субсидии бюджетам субъектов Российской Федерации на </w:t>
            </w: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социальных программ субъектов Российской Федерации, связанных с укреплением материально-технической базы организаций социального обслуживания населения, оказанием адресной социальной помощи неработающим пенсионерам, обучением компьютерной грамотности неработающих пенсионеров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1 778,5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9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2 02 25462 02 0000 151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12 415,0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163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2 02 35134 02 0000 151</w:t>
            </w:r>
          </w:p>
        </w:tc>
        <w:tc>
          <w:tcPr>
            <w:tcW w:w="6542" w:type="dxa"/>
            <w:hideMark/>
          </w:tcPr>
          <w:p w:rsidR="00AA52FA" w:rsidRDefault="00AA52FA" w:rsidP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 на осуществление полномочий по обеспечению жильем отдельных категорий граждан, установленных Федеральным законом от 12 января 1995 года № 5-ФЗ «О ветеранах», в соответствии с Указом Президента Российской Федерации от 7 мая 2008 года № 714 «Об обеспечении жильем ветеранов Великой Отечественной войны 1941 – 1945 годов»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31 758,3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AA52FA" w:rsidRDefault="00AA52FA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AA52FA" w:rsidTr="00AA52FA">
        <w:trPr>
          <w:trHeight w:val="388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AA52FA">
        <w:trPr>
          <w:trHeight w:val="1590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2 02 35135 02 0000 151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субвенции бюджетам субъектов Российской Федерации на осуществление полномочий по обеспечению жильем отдельных категорий граждан, установленных федеральными законами от 12 января 1995 года № 5-ФЗ </w:t>
            </w:r>
            <w:r>
              <w:rPr>
                <w:color w:val="000000"/>
                <w:sz w:val="24"/>
                <w:szCs w:val="24"/>
              </w:rPr>
              <w:br/>
              <w:t xml:space="preserve">«О ветеранах» и от 24 ноября 1995 года № 181-ФЗ </w:t>
            </w:r>
            <w:r>
              <w:rPr>
                <w:color w:val="000000"/>
                <w:sz w:val="24"/>
                <w:szCs w:val="24"/>
              </w:rPr>
              <w:br/>
              <w:t>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18 497,1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30 396,6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30 396,6</w:t>
            </w:r>
          </w:p>
        </w:tc>
      </w:tr>
      <w:tr w:rsidR="00AA52FA" w:rsidTr="00AA52FA">
        <w:trPr>
          <w:trHeight w:val="109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2 02 35137 02 0000 151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9 769,5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10 220,4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10 220,4</w:t>
            </w:r>
          </w:p>
        </w:tc>
      </w:tr>
      <w:tr w:rsidR="00AA52FA" w:rsidTr="00AA52FA">
        <w:trPr>
          <w:trHeight w:val="12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2 02 35220 02 0000 151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81 741,8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81 741,8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81 741,8</w:t>
            </w:r>
          </w:p>
        </w:tc>
      </w:tr>
      <w:tr w:rsidR="00AA52FA" w:rsidTr="00AA52FA">
        <w:trPr>
          <w:trHeight w:val="12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2 02 35240 02 0000 151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54,6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2 02 35250 02 0000 151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оплату жилищно-коммунальных услуг отдельным категориям граждан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578 874,4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578 554,4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578 486,5</w:t>
            </w:r>
          </w:p>
        </w:tc>
      </w:tr>
      <w:tr w:rsidR="00AA52FA" w:rsidTr="00AA52FA">
        <w:trPr>
          <w:trHeight w:val="9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2 02 35260 02 0000 151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5 749,5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5 749,5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5 749,5</w:t>
            </w:r>
          </w:p>
        </w:tc>
      </w:tr>
      <w:tr w:rsidR="00AA52FA" w:rsidTr="00AA52FA">
        <w:trPr>
          <w:trHeight w:val="15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2 02 35270 02 0000 151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6 808,2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7 122,0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7 409,6</w:t>
            </w:r>
          </w:p>
        </w:tc>
      </w:tr>
      <w:tr w:rsidR="00294253" w:rsidTr="00294253">
        <w:trPr>
          <w:trHeight w:val="2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294253">
        <w:trPr>
          <w:trHeight w:val="1125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2 02 35280 02 0000 151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77,6</w:t>
            </w:r>
          </w:p>
        </w:tc>
      </w:tr>
      <w:tr w:rsidR="00AA52FA" w:rsidTr="00AA52FA">
        <w:trPr>
          <w:trHeight w:val="9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2 02 35290 02 0000 151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329 767,6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331 745,7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333 798,2</w:t>
            </w:r>
          </w:p>
        </w:tc>
      </w:tr>
      <w:tr w:rsidR="00AA52FA" w:rsidTr="00AA52FA">
        <w:trPr>
          <w:trHeight w:val="189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824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2 02 35380 02 0000 151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 бюджетам субъектов Российской Федерации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259 350,1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260 141,9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259 422,6</w:t>
            </w:r>
          </w:p>
        </w:tc>
      </w:tr>
      <w:tr w:rsidR="00AA52FA" w:rsidTr="00AA52FA">
        <w:trPr>
          <w:trHeight w:val="6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Министерство по природопользованию и экологии Республики Карелия        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1 185 152,4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1 182 975,3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1 214 565,0</w:t>
            </w:r>
          </w:p>
        </w:tc>
      </w:tr>
      <w:tr w:rsidR="00AA52FA" w:rsidTr="00AA52FA">
        <w:trPr>
          <w:trHeight w:val="132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1 08 07082 01 0000 110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787,0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</w:tr>
      <w:tr w:rsidR="00AA52FA" w:rsidTr="00AA52FA">
        <w:trPr>
          <w:trHeight w:val="15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1 08 07262 01 0000 110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разрешения на выброс вредных (загрязняющих) веществ в атмосферный воздух стационарных источников, находящихся на объектах хозяйственной и иной деятельности, не подлежащих федеральному государственному экологическому контролю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56,0</w:t>
            </w:r>
          </w:p>
        </w:tc>
      </w:tr>
      <w:tr w:rsidR="00AA52FA" w:rsidTr="00294253">
        <w:trPr>
          <w:trHeight w:val="29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1 08 07282 01 0000 110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размещение, а также за переоформление и выдачу дубликата указанного документа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294253" w:rsidTr="00294253">
        <w:trPr>
          <w:trHeight w:val="2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294253">
        <w:trPr>
          <w:trHeight w:val="1260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1 12 02012 01 0000 120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разовые платежи за пользование недрами при наступлении определенных событий, оговоренных в лицензии, при пользовании недрами на территории Российской Федерации по участкам недр местного значения  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3363C3" w:rsidP="00336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AA52FA">
              <w:rPr>
                <w:sz w:val="24"/>
                <w:szCs w:val="24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4 100,0</w:t>
            </w:r>
          </w:p>
        </w:tc>
      </w:tr>
      <w:tr w:rsidR="00AA52FA" w:rsidTr="00AA52FA">
        <w:trPr>
          <w:trHeight w:val="12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1 12 02052 01 0000 120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AA52FA" w:rsidTr="00AA52FA">
        <w:trPr>
          <w:trHeight w:val="6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1 12 02102 02 0000 120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сборы за участие в конкурсе (аукционе) на право пользования участками недр местного значения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AA52FA" w:rsidTr="00AA52FA">
        <w:trPr>
          <w:trHeight w:val="6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1 12 04013 02 0000 120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платы по договору купли-продажи лесных насаждений</w:t>
            </w:r>
          </w:p>
        </w:tc>
        <w:tc>
          <w:tcPr>
            <w:tcW w:w="1559" w:type="dxa"/>
            <w:noWrap/>
            <w:hideMark/>
          </w:tcPr>
          <w:p w:rsidR="00AA52FA" w:rsidRDefault="003363C3" w:rsidP="003363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23 500</w:t>
            </w:r>
            <w:r w:rsidR="00AA52FA">
              <w:rPr>
                <w:sz w:val="24"/>
                <w:szCs w:val="24"/>
              </w:rPr>
              <w:t>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15 750,0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1 12 04014 02 0000 120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использование лесов, расположенных на землях лесного фонда, в части, превышающей минимальный размер арендной платы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510 442,0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511 258,0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530 126,0</w:t>
            </w:r>
          </w:p>
        </w:tc>
      </w:tr>
      <w:tr w:rsidR="00AA52FA" w:rsidTr="00AA52FA">
        <w:trPr>
          <w:trHeight w:val="9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1 12 04015 02 0000 120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плата за использование лесов, расположенных на землях лесного фонда, в части платы по договору купли-продажи лесных насаждений для собственных нужд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16 292,0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17 000,0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17 700,0</w:t>
            </w:r>
          </w:p>
        </w:tc>
      </w:tr>
      <w:tr w:rsidR="00AA52FA" w:rsidTr="00AA52FA">
        <w:trPr>
          <w:trHeight w:val="166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1 13 01410 01 0000 130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предоставление государственными органами субъектов Российской Федерации, казенными учреждениями субъектов Российской Федерации сведений, документов, содержащихся в государственных реестрах (регистрах), ведение которых осуществляется данными государственными органами, учреждениями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400,1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400,1</w:t>
            </w:r>
          </w:p>
        </w:tc>
      </w:tr>
      <w:tr w:rsidR="00AA52FA" w:rsidTr="00AA52FA">
        <w:trPr>
          <w:trHeight w:val="69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субъектов Российской Федерации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</w:tr>
      <w:tr w:rsidR="00AA52FA" w:rsidTr="00AA52FA">
        <w:trPr>
          <w:trHeight w:val="6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226,7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253" w:rsidRDefault="00294253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294253" w:rsidTr="00294253">
        <w:trPr>
          <w:trHeight w:val="284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294253">
        <w:trPr>
          <w:trHeight w:val="1335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1 16 23021 02 0000 140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AA52FA" w:rsidTr="00AA52FA">
        <w:trPr>
          <w:trHeight w:val="249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1 16 25086 02 0000 140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федеральной собственности, налагаемые исполнительными органами государственной власти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A52FA" w:rsidTr="00AA52FA">
        <w:trPr>
          <w:trHeight w:val="13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AA52FA" w:rsidTr="00AA52FA">
        <w:trPr>
          <w:trHeight w:val="68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664,0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2 02 35128 02 0000 151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водных отношений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7 737,4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7 737,4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7 737,4</w:t>
            </w:r>
          </w:p>
        </w:tc>
      </w:tr>
      <w:tr w:rsidR="00AA52FA" w:rsidTr="00AA52FA">
        <w:trPr>
          <w:trHeight w:val="6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2 02 35129 02 0000 151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субвенции бюджетам субъектов Российской Федерации на осуществление отдельных полномочий в области лесных отношений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616 371,3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625 256,8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636 505,5</w:t>
            </w:r>
          </w:p>
        </w:tc>
      </w:tr>
      <w:tr w:rsidR="00AA52FA" w:rsidTr="00AA52FA">
        <w:trPr>
          <w:trHeight w:val="46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Государственный комитет Республики Карелия по дорожному хозяйству, транспорту и связи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655 399,3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3 200,0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3 000,0</w:t>
            </w:r>
          </w:p>
        </w:tc>
      </w:tr>
      <w:tr w:rsidR="00AA52FA" w:rsidTr="00AA52FA">
        <w:trPr>
          <w:trHeight w:val="133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1 08 07172 01 0000 110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 грузов, зачисляемая в бюджеты субъектов Российской Федерации                  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1 175,0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</w:tbl>
    <w:p w:rsidR="00294253" w:rsidRDefault="00294253"/>
    <w:tbl>
      <w:tblPr>
        <w:tblW w:w="15214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</w:tblGrid>
      <w:tr w:rsidR="00294253" w:rsidTr="00294253">
        <w:trPr>
          <w:trHeight w:val="25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294253">
        <w:trPr>
          <w:trHeight w:val="1020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1 13 01520 02 0000 130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значения, зачисляемая в бюджеты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294253">
        <w:trPr>
          <w:trHeight w:val="884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1 13 02040 01 0000 130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доходы, поступающие в порядке возмещения бюджету субъекта Российской Федерации расходов, направленных на покрытие процессуальных издержек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436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1 408,2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771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1 15 02020 02 0000 140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платежи, взимаемые государственными органами (организациями) субъектов Российской Федерации за выполнение определенных функций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1 200,0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1 000,0</w:t>
            </w:r>
          </w:p>
        </w:tc>
      </w:tr>
      <w:tr w:rsidR="00AA52FA" w:rsidTr="00AA52FA">
        <w:trPr>
          <w:trHeight w:val="12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1 16 23021 02 0000 140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16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1 16 37020 02 0000 140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 сумм в возмещение вреда, причиняемого автомобильным дорогам регионального или межмуниципального значения транспортными средствами, осуществляющими перевозки тяжеловесных и  (или) крупногабаритных грузов, зачисляемые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1 500,0</w:t>
            </w:r>
          </w:p>
        </w:tc>
      </w:tr>
      <w:tr w:rsidR="00AA52FA" w:rsidTr="00AA52FA">
        <w:trPr>
          <w:trHeight w:val="135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1 16 46000 00 0000 140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или иных договоров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7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826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2 02 45390 02 0000 151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трансферты, передаваемые бюджетам субъектов Российской Федерации на финансовое обеспечение дорожной деятельности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650 041,3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294253" w:rsidTr="00294253">
        <w:trPr>
          <w:trHeight w:val="360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294253">
        <w:trPr>
          <w:trHeight w:val="360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828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Государственная жилищная инспекция Республики Карелия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844,0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736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AA52FA" w:rsidTr="00AA52FA">
        <w:trPr>
          <w:trHeight w:val="1049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1 08 07400 01 0000 110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действия уполномоченных органов субъектов Российской Федерации, связанные с лицензированием предпринимательской деятельности по управлению многоквартирными домами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844,0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A52FA" w:rsidTr="00AA52FA">
        <w:trPr>
          <w:trHeight w:val="401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Контрольно-счетная палата Республики Карелия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356,8</w:t>
            </w:r>
          </w:p>
        </w:tc>
        <w:tc>
          <w:tcPr>
            <w:tcW w:w="1560" w:type="dxa"/>
            <w:noWrap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AA52FA">
        <w:trPr>
          <w:trHeight w:val="4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141,8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1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830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3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Государственный контрольный комитет Республики Карелия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33 734,1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29 711,0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29 661,0</w:t>
            </w:r>
          </w:p>
        </w:tc>
      </w:tr>
      <w:tr w:rsidR="00AA52FA" w:rsidTr="00AA52FA">
        <w:trPr>
          <w:trHeight w:val="69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1 08 07082 01 0000 110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33 174,0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29 401,0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29 401,0</w:t>
            </w:r>
          </w:p>
        </w:tc>
      </w:tr>
      <w:tr w:rsidR="00AA52FA" w:rsidTr="00AA52FA">
        <w:trPr>
          <w:trHeight w:val="53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AA52FA" w:rsidTr="00AA52FA">
        <w:trPr>
          <w:trHeight w:val="660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1 16 18020 02 0000 140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бюджетного  законодательства (в части бюджетов субъектов Российской Федерации)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AA52FA" w:rsidTr="00AA52FA">
        <w:trPr>
          <w:trHeight w:val="100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1 16 33020 02 0000 140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290,0</w:t>
            </w: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AA52FA" w:rsidTr="00AA52FA">
        <w:trPr>
          <w:trHeight w:val="1017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832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1 16 90020 02 0000 140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субъектов Российской Федерации 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4253" w:rsidRDefault="00294253"/>
    <w:tbl>
      <w:tblPr>
        <w:tblW w:w="15823" w:type="dxa"/>
        <w:tblInd w:w="97" w:type="dxa"/>
        <w:tblLook w:val="04A0" w:firstRow="1" w:lastRow="0" w:firstColumn="1" w:lastColumn="0" w:noHBand="0" w:noVBand="1"/>
      </w:tblPr>
      <w:tblGrid>
        <w:gridCol w:w="1197"/>
        <w:gridCol w:w="2620"/>
        <w:gridCol w:w="6542"/>
        <w:gridCol w:w="1559"/>
        <w:gridCol w:w="1560"/>
        <w:gridCol w:w="1736"/>
        <w:gridCol w:w="609"/>
      </w:tblGrid>
      <w:tr w:rsidR="00294253" w:rsidTr="00294253">
        <w:trPr>
          <w:gridAfter w:val="1"/>
          <w:wAfter w:w="609" w:type="dxa"/>
          <w:trHeight w:val="246"/>
        </w:trPr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4253" w:rsidRDefault="00294253" w:rsidP="00494D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AA52FA" w:rsidTr="00294253">
        <w:trPr>
          <w:gridAfter w:val="1"/>
          <w:wAfter w:w="609" w:type="dxa"/>
          <w:trHeight w:val="1013"/>
        </w:trPr>
        <w:tc>
          <w:tcPr>
            <w:tcW w:w="1197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833</w:t>
            </w:r>
          </w:p>
        </w:tc>
        <w:tc>
          <w:tcPr>
            <w:tcW w:w="2620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6542" w:type="dxa"/>
            <w:tcBorders>
              <w:top w:val="single" w:sz="4" w:space="0" w:color="auto"/>
            </w:tcBorders>
            <w:hideMark/>
          </w:tcPr>
          <w:p w:rsidR="00AA52FA" w:rsidRDefault="00AA52FA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Министерство Республики Карелия по вопросам национальной политики, связям с общественными и религиозными объединениями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2 700,9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single" w:sz="4" w:space="0" w:color="auto"/>
            </w:tcBorders>
            <w:noWrap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294253">
        <w:trPr>
          <w:gridAfter w:val="1"/>
          <w:wAfter w:w="609" w:type="dxa"/>
          <w:trHeight w:val="403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1 13 02992 02 0000 130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доходы от компенсации затрат бюджетов субъектов Российской Федерации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1,9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A52FA" w:rsidTr="00294253">
        <w:trPr>
          <w:gridAfter w:val="1"/>
          <w:wAfter w:w="609" w:type="dxa"/>
          <w:trHeight w:val="945"/>
        </w:trPr>
        <w:tc>
          <w:tcPr>
            <w:tcW w:w="1197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833</w:t>
            </w:r>
          </w:p>
        </w:tc>
        <w:tc>
          <w:tcPr>
            <w:tcW w:w="2620" w:type="dxa"/>
            <w:hideMark/>
          </w:tcPr>
          <w:p w:rsidR="00AA52FA" w:rsidRDefault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2 02 25515 02 0000 151</w:t>
            </w:r>
          </w:p>
        </w:tc>
        <w:tc>
          <w:tcPr>
            <w:tcW w:w="6542" w:type="dxa"/>
            <w:hideMark/>
          </w:tcPr>
          <w:p w:rsidR="00AA52FA" w:rsidRDefault="00AA52F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субсидии бюджетам субъектов Российской Федерации на поддержку экономического и социального развития коренных малочисленных народов Севера, Сибири и Дальнего Востока</w:t>
            </w:r>
          </w:p>
        </w:tc>
        <w:tc>
          <w:tcPr>
            <w:tcW w:w="1559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2 699,0</w:t>
            </w:r>
          </w:p>
        </w:tc>
        <w:tc>
          <w:tcPr>
            <w:tcW w:w="1560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36" w:type="dxa"/>
            <w:noWrap/>
            <w:hideMark/>
          </w:tcPr>
          <w:p w:rsidR="00AA52FA" w:rsidRDefault="00AA52FA" w:rsidP="00AA52FA">
            <w:pPr>
              <w:jc w:val="center"/>
              <w:rPr>
                <w:sz w:val="24"/>
                <w:szCs w:val="24"/>
              </w:rPr>
            </w:pPr>
          </w:p>
        </w:tc>
      </w:tr>
      <w:tr w:rsidR="00294253" w:rsidTr="00294253">
        <w:trPr>
          <w:trHeight w:val="315"/>
        </w:trPr>
        <w:tc>
          <w:tcPr>
            <w:tcW w:w="10359" w:type="dxa"/>
            <w:gridSpan w:val="3"/>
            <w:noWrap/>
            <w:vAlign w:val="bottom"/>
            <w:hideMark/>
          </w:tcPr>
          <w:p w:rsidR="00294253" w:rsidRDefault="00294253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noWrap/>
            <w:hideMark/>
          </w:tcPr>
          <w:p w:rsidR="00294253" w:rsidRDefault="00294253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35 613 706,7</w:t>
            </w:r>
          </w:p>
        </w:tc>
        <w:tc>
          <w:tcPr>
            <w:tcW w:w="1560" w:type="dxa"/>
            <w:noWrap/>
            <w:hideMark/>
          </w:tcPr>
          <w:p w:rsidR="00294253" w:rsidRDefault="00294253" w:rsidP="00AA52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32 756 717,7</w:t>
            </w:r>
          </w:p>
        </w:tc>
        <w:tc>
          <w:tcPr>
            <w:tcW w:w="1736" w:type="dxa"/>
            <w:noWrap/>
            <w:hideMark/>
          </w:tcPr>
          <w:p w:rsidR="00294253" w:rsidRDefault="00294253" w:rsidP="0029425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33 241 079,8</w:t>
            </w:r>
          </w:p>
        </w:tc>
        <w:tc>
          <w:tcPr>
            <w:tcW w:w="609" w:type="dxa"/>
          </w:tcPr>
          <w:p w:rsidR="00294253" w:rsidRPr="00AB570C" w:rsidRDefault="00294253" w:rsidP="00294253">
            <w:pPr>
              <w:rPr>
                <w:bCs/>
                <w:sz w:val="24"/>
                <w:szCs w:val="24"/>
              </w:rPr>
            </w:pPr>
            <w:r w:rsidRPr="00AB570C">
              <w:rPr>
                <w:bCs/>
                <w:sz w:val="24"/>
                <w:szCs w:val="24"/>
              </w:rPr>
              <w:t>».</w:t>
            </w:r>
          </w:p>
        </w:tc>
      </w:tr>
    </w:tbl>
    <w:p w:rsidR="00AA52FA" w:rsidRDefault="00AA52FA" w:rsidP="00AA52FA">
      <w:pPr>
        <w:rPr>
          <w:rFonts w:eastAsia="Calibri"/>
          <w:szCs w:val="28"/>
          <w:lang w:eastAsia="en-US"/>
        </w:rPr>
      </w:pPr>
    </w:p>
    <w:p w:rsidR="00AA52FA" w:rsidRDefault="00AA52FA" w:rsidP="00AA52FA">
      <w:pPr>
        <w:rPr>
          <w:szCs w:val="28"/>
        </w:rPr>
      </w:pPr>
    </w:p>
    <w:p w:rsidR="00AF0F85" w:rsidRDefault="00AF0F85" w:rsidP="00AA52FA">
      <w:pPr>
        <w:pStyle w:val="ConsPlusNormal"/>
        <w:ind w:firstLine="0"/>
        <w:jc w:val="both"/>
        <w:rPr>
          <w:sz w:val="28"/>
          <w:szCs w:val="28"/>
        </w:rPr>
      </w:pPr>
    </w:p>
    <w:p w:rsidR="00AF0F85" w:rsidRDefault="00AF0F85" w:rsidP="00AA52FA">
      <w:pPr>
        <w:pStyle w:val="ConsPlusNormal"/>
        <w:ind w:firstLine="0"/>
        <w:jc w:val="both"/>
        <w:rPr>
          <w:sz w:val="28"/>
          <w:szCs w:val="28"/>
        </w:rPr>
      </w:pPr>
    </w:p>
    <w:p w:rsidR="00AF0F85" w:rsidRDefault="00AF0F85" w:rsidP="00AA52F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AA52FA" w:rsidRDefault="00AF0F85" w:rsidP="00AA52FA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AA52FA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AA52FA">
        <w:rPr>
          <w:sz w:val="28"/>
          <w:szCs w:val="28"/>
        </w:rPr>
        <w:t xml:space="preserve"> Республики Карелия                                                                             </w:t>
      </w:r>
      <w:r>
        <w:rPr>
          <w:sz w:val="28"/>
          <w:szCs w:val="28"/>
        </w:rPr>
        <w:t xml:space="preserve">     </w:t>
      </w:r>
      <w:r w:rsidR="00AA52FA">
        <w:rPr>
          <w:sz w:val="28"/>
          <w:szCs w:val="28"/>
        </w:rPr>
        <w:t xml:space="preserve">  А.</w:t>
      </w:r>
      <w:r>
        <w:rPr>
          <w:sz w:val="28"/>
          <w:szCs w:val="28"/>
        </w:rPr>
        <w:t>Е</w:t>
      </w:r>
      <w:r w:rsidR="00AA52FA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Чепик</w:t>
      </w:r>
      <w:proofErr w:type="spellEnd"/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AA52FA">
      <w:headerReference w:type="default" r:id="rId11"/>
      <w:footerReference w:type="even" r:id="rId12"/>
      <w:footerReference w:type="default" r:id="rId13"/>
      <w:headerReference w:type="first" r:id="rId14"/>
      <w:pgSz w:w="16838" w:h="11906" w:orient="landscape"/>
      <w:pgMar w:top="1276" w:right="567" w:bottom="851" w:left="567" w:header="709" w:footer="709" w:gutter="0"/>
      <w:pgNumType w:start="2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2FA" w:rsidRDefault="00AA52FA">
      <w:r>
        <w:separator/>
      </w:r>
    </w:p>
  </w:endnote>
  <w:endnote w:type="continuationSeparator" w:id="0">
    <w:p w:rsidR="00AA52FA" w:rsidRDefault="00AA5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FA" w:rsidRDefault="00AA52F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A52FA" w:rsidRDefault="00AA52F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FA" w:rsidRDefault="00AA52F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2FA" w:rsidRDefault="00AA52FA">
      <w:r>
        <w:separator/>
      </w:r>
    </w:p>
  </w:footnote>
  <w:footnote w:type="continuationSeparator" w:id="0">
    <w:p w:rsidR="00AA52FA" w:rsidRDefault="00AA52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9887193"/>
      <w:docPartObj>
        <w:docPartGallery w:val="Page Numbers (Top of Page)"/>
        <w:docPartUnique/>
      </w:docPartObj>
    </w:sdtPr>
    <w:sdtEndPr/>
    <w:sdtContent>
      <w:p w:rsidR="00AA52FA" w:rsidRDefault="00AA52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A52FA" w:rsidRDefault="00AA52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AA52FA" w:rsidRDefault="00AA52F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04DE">
          <w:rPr>
            <w:noProof/>
          </w:rPr>
          <w:t>27</w:t>
        </w:r>
        <w:r>
          <w:fldChar w:fldCharType="end"/>
        </w:r>
      </w:p>
    </w:sdtContent>
  </w:sdt>
  <w:p w:rsidR="00AA52FA" w:rsidRDefault="00AA52F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FA" w:rsidRDefault="00AA52FA">
    <w:pPr>
      <w:pStyle w:val="a6"/>
      <w:jc w:val="center"/>
    </w:pPr>
  </w:p>
  <w:p w:rsidR="00AA52FA" w:rsidRDefault="00AA52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4DE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253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363C3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92D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1025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52FA"/>
    <w:rsid w:val="00AA66DD"/>
    <w:rsid w:val="00AB0142"/>
    <w:rsid w:val="00AB125A"/>
    <w:rsid w:val="00AB3199"/>
    <w:rsid w:val="00AB42BA"/>
    <w:rsid w:val="00AB570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0F85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72760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uiPriority w:val="99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uiPriority w:val="99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iPriority w:val="99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uiPriority w:val="99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character" w:customStyle="1" w:styleId="aff5">
    <w:name w:val="Название Знак"/>
    <w:basedOn w:val="a0"/>
    <w:link w:val="aff6"/>
    <w:rsid w:val="00AA52FA"/>
    <w:rPr>
      <w:sz w:val="28"/>
    </w:rPr>
  </w:style>
  <w:style w:type="paragraph" w:styleId="aff6">
    <w:name w:val="Title"/>
    <w:basedOn w:val="a"/>
    <w:link w:val="aff5"/>
    <w:qFormat/>
    <w:rsid w:val="00AA52FA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E0E93-C2C0-4515-92C9-29416A5C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27</Pages>
  <Words>6473</Words>
  <Characters>40497</Characters>
  <Application>Microsoft Office Word</Application>
  <DocSecurity>0</DocSecurity>
  <Lines>337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9</cp:revision>
  <cp:lastPrinted>2018-01-09T11:06:00Z</cp:lastPrinted>
  <dcterms:created xsi:type="dcterms:W3CDTF">2017-12-27T08:17:00Z</dcterms:created>
  <dcterms:modified xsi:type="dcterms:W3CDTF">2018-01-09T11:06:00Z</dcterms:modified>
</cp:coreProperties>
</file>