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F9ECF97" wp14:editId="2A8E9BB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11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11EE">
        <w:t>28 декабря 2017 года № 748р-П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33500" w:rsidRDefault="00E33500" w:rsidP="00E33500">
      <w:pPr>
        <w:pStyle w:val="ConsPlusNormal"/>
        <w:suppressAutoHyphens/>
        <w:ind w:firstLine="0"/>
        <w:jc w:val="center"/>
        <w:rPr>
          <w:sz w:val="28"/>
          <w:szCs w:val="28"/>
        </w:rPr>
      </w:pPr>
    </w:p>
    <w:p w:rsidR="00E33500" w:rsidRPr="00E33500" w:rsidRDefault="00E33500" w:rsidP="00E33500">
      <w:pPr>
        <w:pStyle w:val="ConsPlusNormal"/>
        <w:ind w:firstLine="540"/>
        <w:jc w:val="both"/>
        <w:rPr>
          <w:rFonts w:eastAsiaTheme="minorHAnsi" w:cs="Arial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Внести в </w:t>
      </w:r>
      <w:r w:rsidRPr="00E33500">
        <w:rPr>
          <w:rFonts w:eastAsiaTheme="minorHAnsi"/>
          <w:sz w:val="28"/>
          <w:szCs w:val="28"/>
        </w:rPr>
        <w:t>распоряжение</w:t>
      </w:r>
      <w:r>
        <w:rPr>
          <w:rFonts w:eastAsiaTheme="minorHAnsi"/>
          <w:sz w:val="28"/>
          <w:szCs w:val="28"/>
        </w:rPr>
        <w:t xml:space="preserve"> </w:t>
      </w:r>
      <w:r w:rsidRPr="00E33500">
        <w:rPr>
          <w:rFonts w:eastAsiaTheme="minorHAnsi"/>
          <w:sz w:val="28"/>
          <w:szCs w:val="28"/>
        </w:rPr>
        <w:t xml:space="preserve">Правительства Республики Карелия от 23 января 2017 года № 27р-П (Собрание законодательства Республики Карелия, 2017, </w:t>
      </w:r>
      <w:r>
        <w:rPr>
          <w:rFonts w:eastAsiaTheme="minorHAnsi"/>
          <w:sz w:val="28"/>
          <w:szCs w:val="28"/>
        </w:rPr>
        <w:br/>
      </w:r>
      <w:r w:rsidRPr="00E33500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</w:t>
      </w:r>
      <w:r w:rsidRPr="00E33500">
        <w:rPr>
          <w:rFonts w:eastAsiaTheme="minorHAnsi"/>
          <w:sz w:val="28"/>
          <w:szCs w:val="28"/>
        </w:rPr>
        <w:t>1, ст.</w:t>
      </w:r>
      <w:r>
        <w:rPr>
          <w:rFonts w:eastAsiaTheme="minorHAnsi"/>
          <w:sz w:val="28"/>
          <w:szCs w:val="28"/>
        </w:rPr>
        <w:t xml:space="preserve"> </w:t>
      </w:r>
      <w:r w:rsidRPr="00E33500">
        <w:rPr>
          <w:rFonts w:eastAsiaTheme="minorHAnsi"/>
          <w:sz w:val="28"/>
          <w:szCs w:val="28"/>
        </w:rPr>
        <w:t xml:space="preserve">104) с изменениями, внесенными распоряжениями Правительства Республики Карелия от 7 сентября 2017 года № 498р-П, от 22 ноября </w:t>
      </w:r>
      <w:r w:rsidRPr="00E33500">
        <w:rPr>
          <w:rFonts w:eastAsiaTheme="minorHAnsi"/>
          <w:sz w:val="28"/>
          <w:szCs w:val="28"/>
        </w:rPr>
        <w:br/>
        <w:t xml:space="preserve">2017 года № 647р-П, </w:t>
      </w:r>
      <w:r>
        <w:rPr>
          <w:rFonts w:eastAsiaTheme="minorHAnsi"/>
          <w:sz w:val="28"/>
          <w:szCs w:val="28"/>
        </w:rPr>
        <w:t xml:space="preserve"> от </w:t>
      </w:r>
      <w:r w:rsidR="00E971BC">
        <w:rPr>
          <w:rFonts w:eastAsiaTheme="minorHAnsi"/>
          <w:sz w:val="28"/>
          <w:szCs w:val="28"/>
        </w:rPr>
        <w:t xml:space="preserve"> 28 </w:t>
      </w:r>
      <w:r>
        <w:rPr>
          <w:rFonts w:eastAsiaTheme="minorHAnsi"/>
          <w:sz w:val="28"/>
          <w:szCs w:val="28"/>
        </w:rPr>
        <w:t xml:space="preserve">декабря 2017 года № </w:t>
      </w:r>
      <w:r w:rsidR="00E971BC">
        <w:rPr>
          <w:rFonts w:eastAsiaTheme="minorHAnsi"/>
          <w:sz w:val="28"/>
          <w:szCs w:val="28"/>
        </w:rPr>
        <w:t>746р-П, от 28 декабря                2017 года № 747р-П</w:t>
      </w:r>
      <w:r>
        <w:rPr>
          <w:rFonts w:eastAsiaTheme="minorHAnsi"/>
          <w:sz w:val="28"/>
          <w:szCs w:val="28"/>
        </w:rPr>
        <w:t xml:space="preserve">, </w:t>
      </w:r>
      <w:r w:rsidRPr="00E33500">
        <w:rPr>
          <w:rFonts w:eastAsiaTheme="minorHAnsi"/>
          <w:sz w:val="28"/>
          <w:szCs w:val="28"/>
        </w:rPr>
        <w:t>изменение, изложив приложение 1 в следующей редакции:</w:t>
      </w:r>
      <w:proofErr w:type="gramEnd"/>
    </w:p>
    <w:p w:rsidR="00E33500" w:rsidRPr="00E33500" w:rsidRDefault="00E33500" w:rsidP="00E33500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E33500" w:rsidRPr="00E33500" w:rsidRDefault="00E33500" w:rsidP="00E33500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E33500" w:rsidRPr="00E33500" w:rsidRDefault="00E33500" w:rsidP="00E33500">
      <w:pPr>
        <w:pStyle w:val="ConsPlusNormal"/>
        <w:ind w:left="5103" w:firstLine="0"/>
        <w:rPr>
          <w:rFonts w:eastAsia="Calibri"/>
          <w:sz w:val="28"/>
          <w:szCs w:val="28"/>
        </w:rPr>
      </w:pPr>
      <w:r w:rsidRPr="00E33500">
        <w:rPr>
          <w:sz w:val="28"/>
          <w:szCs w:val="28"/>
        </w:rPr>
        <w:t>«Приложение 1 к распоряжению</w:t>
      </w:r>
    </w:p>
    <w:p w:rsidR="00E33500" w:rsidRPr="00E33500" w:rsidRDefault="00E33500" w:rsidP="00E33500">
      <w:pPr>
        <w:pStyle w:val="ConsPlusNormal"/>
        <w:ind w:left="5103" w:firstLine="0"/>
        <w:rPr>
          <w:sz w:val="28"/>
          <w:szCs w:val="28"/>
        </w:rPr>
      </w:pPr>
      <w:r w:rsidRPr="00E33500">
        <w:rPr>
          <w:sz w:val="28"/>
          <w:szCs w:val="28"/>
        </w:rPr>
        <w:t>Правительства Республики Карелия</w:t>
      </w:r>
    </w:p>
    <w:p w:rsidR="00E33500" w:rsidRPr="00E33500" w:rsidRDefault="00E33500" w:rsidP="00E33500">
      <w:pPr>
        <w:pStyle w:val="ConsPlusNormal"/>
        <w:ind w:left="5103" w:firstLine="0"/>
        <w:rPr>
          <w:rFonts w:eastAsiaTheme="minorHAnsi" w:cs="Arial"/>
          <w:sz w:val="28"/>
          <w:szCs w:val="28"/>
        </w:rPr>
      </w:pPr>
      <w:r w:rsidRPr="00E33500">
        <w:rPr>
          <w:sz w:val="28"/>
          <w:szCs w:val="28"/>
        </w:rPr>
        <w:t>от 23 января 2017 года № 27р-П</w:t>
      </w:r>
      <w:r w:rsidRPr="00E33500">
        <w:rPr>
          <w:rFonts w:eastAsiaTheme="minorHAnsi"/>
          <w:sz w:val="28"/>
          <w:szCs w:val="28"/>
        </w:rPr>
        <w:t xml:space="preserve"> </w:t>
      </w:r>
    </w:p>
    <w:p w:rsidR="00E33500" w:rsidRPr="00E33500" w:rsidRDefault="00E33500" w:rsidP="00E33500">
      <w:pPr>
        <w:pStyle w:val="ConsPlusNormal"/>
        <w:ind w:firstLine="540"/>
        <w:jc w:val="right"/>
        <w:rPr>
          <w:rFonts w:eastAsiaTheme="minorHAnsi"/>
          <w:sz w:val="28"/>
          <w:szCs w:val="28"/>
        </w:rPr>
      </w:pPr>
    </w:p>
    <w:p w:rsidR="00E33500" w:rsidRPr="00E33500" w:rsidRDefault="00E33500" w:rsidP="00E33500">
      <w:pPr>
        <w:pStyle w:val="ConsPlusNormal"/>
        <w:ind w:firstLine="540"/>
        <w:jc w:val="right"/>
        <w:rPr>
          <w:rFonts w:eastAsiaTheme="minorHAnsi"/>
          <w:sz w:val="28"/>
          <w:szCs w:val="28"/>
        </w:rPr>
      </w:pPr>
    </w:p>
    <w:p w:rsidR="00E33500" w:rsidRPr="00E33500" w:rsidRDefault="00E33500" w:rsidP="00E33500">
      <w:pPr>
        <w:pStyle w:val="ConsPlusNormal"/>
        <w:ind w:firstLine="540"/>
        <w:jc w:val="right"/>
        <w:rPr>
          <w:rFonts w:eastAsiaTheme="minorHAnsi"/>
          <w:sz w:val="28"/>
          <w:szCs w:val="28"/>
        </w:rPr>
      </w:pPr>
    </w:p>
    <w:p w:rsidR="00E33500" w:rsidRPr="00E33500" w:rsidRDefault="00E33500" w:rsidP="00E33500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500">
        <w:rPr>
          <w:rFonts w:ascii="Times New Roman" w:hAnsi="Times New Roman" w:cs="Times New Roman"/>
          <w:sz w:val="28"/>
          <w:szCs w:val="28"/>
        </w:rPr>
        <w:t xml:space="preserve">рогнозируемые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350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500">
        <w:rPr>
          <w:rFonts w:ascii="Times New Roman" w:hAnsi="Times New Roman" w:cs="Times New Roman"/>
          <w:sz w:val="28"/>
          <w:szCs w:val="28"/>
        </w:rPr>
        <w:t xml:space="preserve">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33500">
        <w:rPr>
          <w:rFonts w:ascii="Times New Roman" w:eastAsiaTheme="minorHAnsi" w:hAnsi="Times New Roman"/>
          <w:sz w:val="28"/>
          <w:szCs w:val="28"/>
        </w:rPr>
        <w:t>по главным администраторам доходов на 2017 год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E33500">
        <w:rPr>
          <w:rFonts w:ascii="Times New Roman" w:eastAsiaTheme="minorHAnsi" w:hAnsi="Times New Roman"/>
          <w:sz w:val="28"/>
          <w:szCs w:val="28"/>
        </w:rPr>
        <w:t xml:space="preserve">и на плановый период 2018 и 2019 годов </w:t>
      </w:r>
      <w:r w:rsidRPr="00E33500">
        <w:rPr>
          <w:rFonts w:ascii="Times New Roman" w:eastAsiaTheme="minorHAnsi" w:hAnsi="Times New Roman"/>
          <w:sz w:val="28"/>
          <w:szCs w:val="28"/>
        </w:rPr>
        <w:br w:type="page"/>
      </w:r>
    </w:p>
    <w:p w:rsidR="00E33500" w:rsidRDefault="00E33500" w:rsidP="00E33500">
      <w:pPr>
        <w:rPr>
          <w:rFonts w:eastAsiaTheme="minorHAnsi" w:cs="Arial"/>
          <w:szCs w:val="28"/>
        </w:rPr>
        <w:sectPr w:rsidR="00E33500" w:rsidSect="008740AF">
          <w:headerReference w:type="default" r:id="rId10"/>
          <w:pgSz w:w="11906" w:h="16838"/>
          <w:pgMar w:top="1134" w:right="992" w:bottom="1134" w:left="1418" w:header="709" w:footer="709" w:gutter="0"/>
          <w:cols w:space="720"/>
          <w:titlePg/>
          <w:docGrid w:linePitch="381"/>
        </w:sectPr>
      </w:pPr>
    </w:p>
    <w:p w:rsidR="00E33500" w:rsidRDefault="00E33500" w:rsidP="00E33500">
      <w:pPr>
        <w:jc w:val="center"/>
        <w:rPr>
          <w:color w:val="000000"/>
          <w:sz w:val="24"/>
          <w:szCs w:val="24"/>
        </w:rPr>
      </w:pPr>
    </w:p>
    <w:p w:rsidR="00E33500" w:rsidRDefault="00E33500" w:rsidP="00E33500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E33500" w:rsidRDefault="00E33500" w:rsidP="00E33500">
      <w:pPr>
        <w:rPr>
          <w:sz w:val="24"/>
          <w:szCs w:val="24"/>
        </w:rPr>
        <w:sectPr w:rsidR="00E33500" w:rsidSect="008740AF">
          <w:pgSz w:w="16838" w:h="11906" w:orient="landscape"/>
          <w:pgMar w:top="1418" w:right="1134" w:bottom="992" w:left="1134" w:header="709" w:footer="709" w:gutter="0"/>
          <w:cols w:space="720"/>
        </w:sectPr>
      </w:pPr>
    </w:p>
    <w:tbl>
      <w:tblPr>
        <w:tblW w:w="15072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5975"/>
        <w:gridCol w:w="1660"/>
        <w:gridCol w:w="1900"/>
        <w:gridCol w:w="1720"/>
      </w:tblGrid>
      <w:tr w:rsidR="00E33500" w:rsidTr="00E33500">
        <w:trPr>
          <w:trHeight w:val="577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t>Сумма доходов</w:t>
            </w:r>
          </w:p>
        </w:tc>
      </w:tr>
      <w:tr w:rsidR="00E33500" w:rsidTr="00E33500">
        <w:trPr>
          <w:trHeight w:val="98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33500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33500"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Pr="00E33500" w:rsidRDefault="00E33500" w:rsidP="00E335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3500">
              <w:rPr>
                <w:bCs/>
                <w:color w:val="000000"/>
                <w:sz w:val="24"/>
                <w:szCs w:val="24"/>
              </w:rPr>
              <w:t>2019 год</w:t>
            </w:r>
          </w:p>
        </w:tc>
      </w:tr>
    </w:tbl>
    <w:p w:rsidR="00E33500" w:rsidRDefault="00E33500" w:rsidP="00E33500">
      <w:pPr>
        <w:rPr>
          <w:color w:val="000000"/>
          <w:sz w:val="24"/>
          <w:szCs w:val="24"/>
        </w:rPr>
        <w:sectPr w:rsidR="00E33500">
          <w:type w:val="continuous"/>
          <w:pgSz w:w="16838" w:h="11906" w:orient="landscape"/>
          <w:pgMar w:top="1418" w:right="1134" w:bottom="992" w:left="1134" w:header="709" w:footer="709" w:gutter="0"/>
          <w:cols w:space="720"/>
        </w:sectPr>
      </w:pPr>
    </w:p>
    <w:tbl>
      <w:tblPr>
        <w:tblW w:w="15179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5975"/>
        <w:gridCol w:w="1660"/>
        <w:gridCol w:w="1900"/>
        <w:gridCol w:w="1827"/>
      </w:tblGrid>
      <w:tr w:rsidR="00E33500" w:rsidTr="005B340A">
        <w:trPr>
          <w:trHeight w:val="315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100 555,0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50 103,0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50 603,0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1 12 01000 01 0000 120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100 555,0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50 103,0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50 603,0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1 12 01000 01 0000 120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E33500" w:rsidTr="005B340A">
        <w:trPr>
          <w:trHeight w:val="808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пожарной безопасности 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E33500" w:rsidTr="005B340A">
        <w:trPr>
          <w:trHeight w:val="536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агентства по рыболовству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E33500" w:rsidTr="005B340A">
        <w:trPr>
          <w:trHeight w:val="828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33500" w:rsidTr="005B340A">
        <w:trPr>
          <w:trHeight w:val="6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20" w:type="dxa"/>
            <w:vAlign w:val="center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1 987 524,0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1 612 324,0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1 669 039,0</w:t>
            </w:r>
          </w:p>
        </w:tc>
      </w:tr>
      <w:tr w:rsidR="00E33500" w:rsidTr="005B340A">
        <w:trPr>
          <w:trHeight w:val="25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1 03 02140 01 0000 110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325 746,0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577 639,0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578 618,0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503 585,0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8 154,0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9 182,0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7 991,0</w:t>
            </w: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1 226 622,0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1 087 813,0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1 212 545,0</w:t>
            </w:r>
          </w:p>
        </w:tc>
      </w:tr>
      <w:tr w:rsidR="00E33500" w:rsidTr="005B340A">
        <w:trPr>
          <w:trHeight w:val="526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-150 637,0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-63 289,0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-55 082,0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20" w:type="dxa"/>
            <w:vAlign w:val="center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1 695,0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E33500" w:rsidTr="005B340A">
        <w:trPr>
          <w:trHeight w:val="10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66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900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827" w:type="dxa"/>
            <w:noWrap/>
            <w:vAlign w:val="center"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33500" w:rsidTr="005B340A">
        <w:trPr>
          <w:trHeight w:val="1679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18 431 504,8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19 767 000,0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20 424 033,0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3 660 000,0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3 846 294,0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4 001 000,0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1 01 01014 02 0000 110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1 375 730,5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1 911 960,0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1 721 000,0</w:t>
            </w:r>
          </w:p>
        </w:tc>
      </w:tr>
      <w:tr w:rsidR="00E33500" w:rsidTr="005B340A">
        <w:trPr>
          <w:trHeight w:val="16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7 804 330,0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8 157 829,0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8 730 226,0</w:t>
            </w:r>
          </w:p>
        </w:tc>
      </w:tr>
      <w:tr w:rsidR="00E33500" w:rsidTr="005B340A">
        <w:trPr>
          <w:trHeight w:val="225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44 455,0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46 975,0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49 409,0</w:t>
            </w:r>
          </w:p>
        </w:tc>
      </w:tr>
      <w:tr w:rsidR="00E33500" w:rsidTr="005B340A">
        <w:trPr>
          <w:trHeight w:val="9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57 089,0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60 351,0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63 471,0</w:t>
            </w:r>
          </w:p>
        </w:tc>
      </w:tr>
      <w:tr w:rsidR="00E33500" w:rsidTr="005B340A">
        <w:trPr>
          <w:trHeight w:val="16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46 126,0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48 345,0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50 394,0</w:t>
            </w:r>
          </w:p>
        </w:tc>
      </w:tr>
      <w:tr w:rsidR="00E33500" w:rsidTr="005B340A">
        <w:trPr>
          <w:trHeight w:val="46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1 03 02100 01 0000 110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10 119,0</w:t>
            </w:r>
          </w:p>
        </w:tc>
      </w:tr>
      <w:tr w:rsidR="00E33500" w:rsidTr="005B340A">
        <w:trPr>
          <w:trHeight w:val="234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1 03 02110 01 0000 110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144 279,0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335 895,0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355 663,0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895 086,3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908 040,0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912 160,0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621 355,0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623 960,0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628 079,0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1 06 02000 02 0000 110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2 504 500,0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2 530 000,0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2 610 000,0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1 06 04000 02 0000 110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605 600,0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614 100,0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440 000,0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39 010,0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33500" w:rsidTr="005B340A">
        <w:trPr>
          <w:trHeight w:val="1781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1 08 07010 01 0000 110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 w:rsidP="00874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E33500" w:rsidTr="005B340A">
        <w:trPr>
          <w:trHeight w:val="1044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обороны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410 116,6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427 177,0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427 214,0</w:t>
            </w:r>
          </w:p>
        </w:tc>
      </w:tr>
      <w:tr w:rsidR="00E33500" w:rsidTr="005B340A">
        <w:trPr>
          <w:trHeight w:val="1425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1 08 06000 01 0000 110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7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4 335,0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4 372,0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1 08 07141 01 0000 110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22 960,7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34 000,0</w:t>
            </w:r>
          </w:p>
        </w:tc>
      </w:tr>
      <w:tr w:rsidR="00E33500" w:rsidTr="005B340A">
        <w:trPr>
          <w:trHeight w:val="847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1 16 25072 02 0000 140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33500" w:rsidTr="005B340A">
        <w:trPr>
          <w:trHeight w:val="9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381 468,9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388 490,0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388 490,0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</w:tr>
      <w:tr w:rsidR="00E33500" w:rsidTr="005B340A">
        <w:trPr>
          <w:trHeight w:val="13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56 545,0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57 030,0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57 515,0</w:t>
            </w:r>
          </w:p>
        </w:tc>
      </w:tr>
      <w:tr w:rsidR="00E33500" w:rsidTr="005B340A">
        <w:trPr>
          <w:trHeight w:val="821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56 545,0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57 030,0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57 515,0</w:t>
            </w: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338 189,3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86 757,1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85 097,5</w:t>
            </w:r>
          </w:p>
        </w:tc>
      </w:tr>
      <w:tr w:rsidR="00E33500" w:rsidTr="005B340A">
        <w:trPr>
          <w:trHeight w:val="571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6 121,8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78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2 02 25382 02 0000 151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10 641,6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10 298,7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10 074,7</w:t>
            </w:r>
          </w:p>
        </w:tc>
      </w:tr>
      <w:tr w:rsidR="00E33500" w:rsidTr="005B340A">
        <w:trPr>
          <w:trHeight w:val="168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2 02 25402 02 0000 151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8 889,8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2 02 25554 02 0000 151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29 564,8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9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195 594,7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85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2 02 45136 02 0000 151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2 02 45161 02 0000 151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67 176,6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66 038,4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64 602,8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</w:tr>
      <w:tr w:rsidR="00E33500" w:rsidTr="005B340A">
        <w:trPr>
          <w:trHeight w:val="3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278 426,1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E33500" w:rsidTr="005B340A">
        <w:trPr>
          <w:trHeight w:val="135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E33500" w:rsidTr="005B340A">
        <w:trPr>
          <w:trHeight w:val="821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1 08 07300 01 0000 110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71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2 02 20051 02 0000 151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62 896,3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2 02 25027 02 0000 151</w:t>
            </w:r>
          </w:p>
        </w:tc>
        <w:tc>
          <w:tcPr>
            <w:tcW w:w="5975" w:type="dxa"/>
            <w:hideMark/>
          </w:tcPr>
          <w:p w:rsidR="00E33500" w:rsidRDefault="00E33500" w:rsidP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9 784,8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15 100,2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2 02 25520 02 0000 151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188 885,8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145 196,5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367 100,0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95 200,0</w:t>
            </w: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1 445,8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5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2 02 25509 02 0000 151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</w:tr>
      <w:tr w:rsidR="00E33500" w:rsidTr="005B340A">
        <w:trPr>
          <w:trHeight w:val="9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2 02 25517 02 0000 151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526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1 330,1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3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2 02 25558 02 0000 151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11 261,2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5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180 289,8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115 345,1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112 792,1</w:t>
            </w:r>
          </w:p>
        </w:tc>
      </w:tr>
      <w:tr w:rsidR="00E33500" w:rsidTr="005B340A">
        <w:trPr>
          <w:trHeight w:val="327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8 082,0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E33500" w:rsidTr="005B340A">
        <w:trPr>
          <w:trHeight w:val="75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E33500" w:rsidTr="005B340A">
        <w:trPr>
          <w:trHeight w:val="549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429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2 02 20051 02 0000 151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15 704,4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242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2 02 25526 02 0000 151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(рыбоводство) и </w:t>
            </w:r>
            <w:proofErr w:type="gramStart"/>
            <w:r>
              <w:rPr>
                <w:sz w:val="24"/>
                <w:szCs w:val="24"/>
              </w:rPr>
              <w:t>товарного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осетроводства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12 587,1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10 465,2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10 187,1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9 988,1</w:t>
            </w: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2 02 25542 02 0000 151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49 025,8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47 407,8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46 249,7</w:t>
            </w: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2 02 25543 02 0000 151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54 838,7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48 950,2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47 754,3</w:t>
            </w: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2 02 25544 02 0000 151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26 866,5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экономического развития  и промышленности Республики Карелия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51 844,3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E33500" w:rsidTr="005B340A">
        <w:trPr>
          <w:trHeight w:val="242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2 02 25066 02 0000 151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3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2 02 25527 02 0000 151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51 556,1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8 052 372,9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7 281 085,6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7 353 127,7</w:t>
            </w:r>
          </w:p>
        </w:tc>
      </w:tr>
      <w:tr w:rsidR="00E33500" w:rsidTr="005B340A">
        <w:trPr>
          <w:trHeight w:val="7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23 130,0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23 130,0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23 130,0</w:t>
            </w:r>
          </w:p>
        </w:tc>
      </w:tr>
      <w:tr w:rsidR="00E33500" w:rsidTr="005B340A">
        <w:trPr>
          <w:trHeight w:val="409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7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1 16 49020 02 0000 140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7 195 441,3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7 152 307,0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7 224 359,0</w:t>
            </w:r>
          </w:p>
        </w:tc>
      </w:tr>
      <w:tr w:rsidR="00E33500" w:rsidTr="005B340A">
        <w:trPr>
          <w:trHeight w:val="10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735 011,9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12 589,7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12 589,7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12 589,7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2 02 35900 02 0000 151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82 412,4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93 058,9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93 049,0</w:t>
            </w:r>
          </w:p>
        </w:tc>
      </w:tr>
      <w:tr w:rsidR="00E33500" w:rsidTr="005B340A">
        <w:trPr>
          <w:trHeight w:val="7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251 929,9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257 939,0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202 268,0</w:t>
            </w:r>
          </w:p>
        </w:tc>
      </w:tr>
      <w:tr w:rsidR="00E33500" w:rsidTr="005B340A">
        <w:trPr>
          <w:trHeight w:val="9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72 000,0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229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126 350,0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110 339,0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53 268,0</w:t>
            </w: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1 889,3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9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2 097 454,8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164 938,0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161 374,0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128 600,0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2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2 02 20051 02 0000 151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465 638,0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356 111,8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163 944,0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160 380,0</w:t>
            </w:r>
          </w:p>
        </w:tc>
      </w:tr>
      <w:tr w:rsidR="00E33500" w:rsidTr="005B340A">
        <w:trPr>
          <w:trHeight w:val="108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2 02 25555 02 0000 151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130 285,5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2 02 25560 02 0000 151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3 560,7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2 02 35485 02 0000 151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22 002,4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102 600,0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22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5975" w:type="dxa"/>
            <w:hideMark/>
          </w:tcPr>
          <w:p w:rsidR="00E33500" w:rsidRDefault="00E33500" w:rsidP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793 650,0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22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2 04 02040 02 0000 180</w:t>
            </w:r>
          </w:p>
        </w:tc>
        <w:tc>
          <w:tcPr>
            <w:tcW w:w="5975" w:type="dxa"/>
            <w:hideMark/>
          </w:tcPr>
          <w:p w:rsidR="00E33500" w:rsidRDefault="00E33500" w:rsidP="008740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от некоммерческой организации </w:t>
            </w:r>
            <w:r w:rsidR="008740AF">
              <w:rPr>
                <w:sz w:val="24"/>
                <w:szCs w:val="24"/>
              </w:rPr>
              <w:t>«Фонд развития моногородов»</w:t>
            </w:r>
            <w:r>
              <w:rPr>
                <w:sz w:val="24"/>
                <w:szCs w:val="24"/>
              </w:rPr>
              <w:t xml:space="preserve">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93 777,3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2620" w:type="dxa"/>
            <w:vAlign w:val="center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361,2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16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1 16 02030 02 0000 140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3500" w:rsidTr="005B340A">
        <w:trPr>
          <w:trHeight w:val="604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6 739,5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2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6 733,8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11 863,8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1 730,0</w:t>
            </w: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2 222,9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1 730,0</w:t>
            </w: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242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1 16 21020 02 0000 140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2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2 02 45141 02 0000 151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2 411,4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1 239,9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1 239,9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E33500" w:rsidTr="005B340A">
        <w:trPr>
          <w:trHeight w:val="6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2 123,4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514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социальной защиты, труда и занятости Республики Карелия        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1 703 003,0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1 344 934,7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1 346 487,6</w:t>
            </w: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2 899,0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выгодоприоб-ретателями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10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9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2 02 25027 02 0000 151</w:t>
            </w:r>
          </w:p>
        </w:tc>
        <w:tc>
          <w:tcPr>
            <w:tcW w:w="5975" w:type="dxa"/>
            <w:hideMark/>
          </w:tcPr>
          <w:p w:rsidR="00E33500" w:rsidRDefault="00E33500" w:rsidP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21 165,9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2 02 25082 02 0000 151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39 115,4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39 115,4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39 115,4</w:t>
            </w:r>
          </w:p>
        </w:tc>
      </w:tr>
      <w:tr w:rsidR="00E33500" w:rsidTr="005B340A">
        <w:trPr>
          <w:trHeight w:val="9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2 02 25084 02 0000 151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181 518,2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6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2 02 25086 02 0000 151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1 483,5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8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2 02 25209 02 0000 151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1 778,5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2 02 25462 02 0000 151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12 415,0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6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2 02 35134 02 0000 151</w:t>
            </w:r>
          </w:p>
        </w:tc>
        <w:tc>
          <w:tcPr>
            <w:tcW w:w="5975" w:type="dxa"/>
            <w:hideMark/>
          </w:tcPr>
          <w:p w:rsidR="00E33500" w:rsidRDefault="00E33500" w:rsidP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</w:t>
            </w:r>
            <w:r>
              <w:rPr>
                <w:color w:val="000000"/>
                <w:sz w:val="24"/>
                <w:szCs w:val="24"/>
              </w:rPr>
              <w:br/>
              <w:t>«Об обеспечении жильем ветеранов Великой Отечественной войны 1941 – 1945 годов»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32 109,7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5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2 02 35135 02 0000 151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>
              <w:rPr>
                <w:color w:val="000000"/>
                <w:sz w:val="24"/>
                <w:szCs w:val="24"/>
              </w:rPr>
              <w:br/>
              <w:t xml:space="preserve">№ 5-ФЗ «О ветеранах» и от 24 ноября 1995 года </w:t>
            </w:r>
            <w:r>
              <w:rPr>
                <w:color w:val="000000"/>
                <w:sz w:val="24"/>
                <w:szCs w:val="24"/>
              </w:rPr>
              <w:br/>
              <w:t>№ 181-ФЗ «О социальной защите инвалидов в Российской Федерации»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18 497,1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30 396,6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30 396,6</w:t>
            </w:r>
          </w:p>
        </w:tc>
      </w:tr>
      <w:tr w:rsidR="00E33500" w:rsidTr="005B340A">
        <w:trPr>
          <w:trHeight w:val="135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8 878,2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10 220,4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10 220,4</w:t>
            </w: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2 02 35220 02 0000 151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81 741,8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81 741,8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81 741,8</w:t>
            </w: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2 02 35240 02 0000 151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2 02 35250 02 0000 151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771 386,1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578 554,4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578 486,5</w:t>
            </w:r>
          </w:p>
        </w:tc>
      </w:tr>
      <w:tr w:rsidR="00E33500" w:rsidTr="005B340A">
        <w:trPr>
          <w:trHeight w:val="9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2 02 35260 02 0000 151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5 749,5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5 749,5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5 749,5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2 02 35270 02 0000 151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4 856,5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7 122,0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7 409,6</w:t>
            </w: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2 02 35280 02 0000 151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E33500" w:rsidTr="005B340A">
        <w:trPr>
          <w:trHeight w:val="9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2 02 35290 02 0000 151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266 993,1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331 745,7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333 798,2</w:t>
            </w:r>
          </w:p>
        </w:tc>
      </w:tr>
      <w:tr w:rsidR="00E33500" w:rsidTr="005B340A">
        <w:trPr>
          <w:trHeight w:val="18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2 02 35380 02 0000 151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252 258,6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260 141,9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259 422,6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1 185 290,5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1 182 975,3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1 214 565,0</w:t>
            </w:r>
          </w:p>
        </w:tc>
      </w:tr>
      <w:tr w:rsidR="00E33500" w:rsidTr="005B340A">
        <w:trPr>
          <w:trHeight w:val="243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E33500" w:rsidTr="005B340A">
        <w:trPr>
          <w:trHeight w:val="15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1 08 07282 01 0000 110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260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971BC" w:rsidP="00E97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3500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</w:tr>
      <w:tr w:rsidR="00E33500" w:rsidTr="005B340A">
        <w:trPr>
          <w:trHeight w:val="1260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33500" w:rsidTr="005B340A">
        <w:trPr>
          <w:trHeight w:val="243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971BC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3500">
              <w:rPr>
                <w:sz w:val="24"/>
                <w:szCs w:val="24"/>
              </w:rPr>
              <w:t xml:space="preserve">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15 750,0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shd w:val="clear" w:color="auto" w:fill="FFFFFF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5975" w:type="dxa"/>
            <w:shd w:val="clear" w:color="auto" w:fill="FFFFFF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660" w:type="dxa"/>
            <w:shd w:val="clear" w:color="auto" w:fill="FFFFFF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510 442,0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511 258,0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530 126,0</w:t>
            </w:r>
          </w:p>
        </w:tc>
      </w:tr>
      <w:tr w:rsidR="00E33500" w:rsidTr="005B340A">
        <w:trPr>
          <w:trHeight w:val="9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16 292,0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17 700,0</w:t>
            </w:r>
          </w:p>
        </w:tc>
      </w:tr>
      <w:tr w:rsidR="00E33500" w:rsidTr="005B340A">
        <w:trPr>
          <w:trHeight w:val="166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1 13 01410 01 0000 130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1 332,8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</w:tr>
      <w:tr w:rsidR="00E33500" w:rsidTr="005B340A">
        <w:trPr>
          <w:trHeight w:val="6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3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33500" w:rsidTr="005B340A">
        <w:trPr>
          <w:trHeight w:val="12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1 16 25086 02 0000 140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33500" w:rsidTr="005B340A">
        <w:trPr>
          <w:trHeight w:val="13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2 02 35128 02 0000 151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7 737,4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7 737,4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7 737,4</w:t>
            </w:r>
          </w:p>
        </w:tc>
      </w:tr>
      <w:tr w:rsidR="00E33500" w:rsidTr="005B340A">
        <w:trPr>
          <w:trHeight w:val="63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2 02 35129 02 0000 151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616 371,3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625 256,8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636 505,5</w:t>
            </w:r>
          </w:p>
        </w:tc>
      </w:tr>
      <w:tr w:rsidR="00E33500" w:rsidTr="005B340A">
        <w:trPr>
          <w:trHeight w:val="6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655 204,1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3 000,0</w:t>
            </w:r>
          </w:p>
        </w:tc>
      </w:tr>
      <w:tr w:rsidR="00E33500" w:rsidTr="005B340A">
        <w:trPr>
          <w:trHeight w:val="133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E33500" w:rsidTr="005B340A">
        <w:trPr>
          <w:trHeight w:val="102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1 13 01520 02 0000 130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1 13 02040 01 0000 130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1 413,0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E33500" w:rsidTr="005B340A">
        <w:trPr>
          <w:trHeight w:val="12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16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E33500" w:rsidTr="005B340A">
        <w:trPr>
          <w:trHeight w:val="135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1 16 46000 00 0000 140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90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2 02 45390 02 0000 151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650 041,3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1 040,6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2 01 02099 02 0000 180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нерезидентов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1 040,6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33500" w:rsidTr="005B340A">
        <w:trPr>
          <w:trHeight w:val="1108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3500" w:rsidTr="005B340A">
        <w:trPr>
          <w:trHeight w:val="37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Контрольно-счетная палата Республики Карелия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3500" w:rsidTr="005B340A">
        <w:trPr>
          <w:trHeight w:val="60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1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33 734,1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29 711,0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29 661,0</w:t>
            </w:r>
          </w:p>
        </w:tc>
      </w:tr>
      <w:tr w:rsidR="00E33500" w:rsidTr="005B340A">
        <w:trPr>
          <w:trHeight w:val="242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33 174,0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29 401,0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29 401,0</w:t>
            </w:r>
          </w:p>
        </w:tc>
      </w:tr>
      <w:tr w:rsidR="00E33500" w:rsidTr="005B340A">
        <w:trPr>
          <w:trHeight w:val="6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6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33500" w:rsidTr="005B340A">
        <w:trPr>
          <w:trHeight w:val="100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33500" w:rsidTr="005B340A">
        <w:trPr>
          <w:trHeight w:val="9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69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2 700,9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33500" w:rsidTr="005B340A">
        <w:trPr>
          <w:trHeight w:val="600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500" w:rsidTr="005B340A">
        <w:trPr>
          <w:trHeight w:val="945"/>
        </w:trPr>
        <w:tc>
          <w:tcPr>
            <w:tcW w:w="1197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E33500" w:rsidRDefault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2 02 25515 02 0000 151</w:t>
            </w:r>
          </w:p>
        </w:tc>
        <w:tc>
          <w:tcPr>
            <w:tcW w:w="5975" w:type="dxa"/>
            <w:hideMark/>
          </w:tcPr>
          <w:p w:rsidR="00E33500" w:rsidRDefault="00E33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2 699,0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sz w:val="24"/>
                <w:szCs w:val="24"/>
              </w:rPr>
            </w:pPr>
          </w:p>
        </w:tc>
      </w:tr>
      <w:tr w:rsidR="00E33500" w:rsidTr="005B340A">
        <w:trPr>
          <w:trHeight w:val="315"/>
        </w:trPr>
        <w:tc>
          <w:tcPr>
            <w:tcW w:w="9792" w:type="dxa"/>
            <w:gridSpan w:val="3"/>
            <w:noWrap/>
            <w:vAlign w:val="bottom"/>
            <w:hideMark/>
          </w:tcPr>
          <w:p w:rsidR="00E33500" w:rsidRDefault="00E335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35 991 786,0</w:t>
            </w:r>
          </w:p>
        </w:tc>
        <w:tc>
          <w:tcPr>
            <w:tcW w:w="1900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32 756 717,7</w:t>
            </w:r>
          </w:p>
        </w:tc>
        <w:tc>
          <w:tcPr>
            <w:tcW w:w="1827" w:type="dxa"/>
            <w:noWrap/>
            <w:hideMark/>
          </w:tcPr>
          <w:p w:rsidR="00E33500" w:rsidRDefault="00E33500" w:rsidP="00E335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33 241 079,8</w:t>
            </w:r>
            <w:r w:rsidR="005B340A">
              <w:rPr>
                <w:b/>
                <w:bCs/>
                <w:sz w:val="24"/>
                <w:szCs w:val="24"/>
              </w:rPr>
              <w:t xml:space="preserve">  </w:t>
            </w:r>
            <w:r w:rsidRPr="00AD2C48">
              <w:rPr>
                <w:bCs/>
                <w:sz w:val="24"/>
                <w:szCs w:val="24"/>
              </w:rPr>
              <w:t>».</w:t>
            </w:r>
          </w:p>
        </w:tc>
      </w:tr>
    </w:tbl>
    <w:p w:rsidR="00E33500" w:rsidRDefault="00E33500" w:rsidP="00E33500">
      <w:pPr>
        <w:pStyle w:val="ConsPlusNormal"/>
        <w:ind w:firstLine="0"/>
        <w:jc w:val="both"/>
        <w:rPr>
          <w:sz w:val="28"/>
          <w:szCs w:val="28"/>
        </w:rPr>
      </w:pPr>
    </w:p>
    <w:p w:rsidR="006554C2" w:rsidRDefault="00E33500" w:rsidP="00E33500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554C2" w:rsidRDefault="006554C2" w:rsidP="00E33500">
      <w:pPr>
        <w:pStyle w:val="ConsPlusNormal"/>
        <w:ind w:firstLine="0"/>
        <w:jc w:val="both"/>
        <w:rPr>
          <w:sz w:val="28"/>
          <w:szCs w:val="28"/>
        </w:rPr>
      </w:pPr>
    </w:p>
    <w:p w:rsidR="006554C2" w:rsidRDefault="006554C2" w:rsidP="006554C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554C2" w:rsidRDefault="006554C2" w:rsidP="006554C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Главы Республики Карелия                            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6554C2" w:rsidRDefault="006554C2" w:rsidP="00E33500">
      <w:pPr>
        <w:pStyle w:val="ConsPlusNormal"/>
        <w:ind w:firstLine="0"/>
        <w:jc w:val="both"/>
        <w:rPr>
          <w:sz w:val="28"/>
          <w:szCs w:val="28"/>
        </w:rPr>
      </w:pPr>
    </w:p>
    <w:p w:rsidR="006554C2" w:rsidRDefault="006554C2" w:rsidP="00E33500">
      <w:pPr>
        <w:pStyle w:val="ConsPlusNormal"/>
        <w:ind w:firstLine="0"/>
        <w:jc w:val="both"/>
        <w:rPr>
          <w:sz w:val="28"/>
          <w:szCs w:val="28"/>
        </w:rPr>
      </w:pPr>
    </w:p>
    <w:p w:rsidR="00E33500" w:rsidRDefault="00E33500" w:rsidP="00E33500">
      <w:pPr>
        <w:rPr>
          <w:color w:val="000000"/>
          <w:sz w:val="24"/>
          <w:szCs w:val="24"/>
        </w:rPr>
        <w:sectPr w:rsidR="00E33500" w:rsidSect="00E33500">
          <w:type w:val="continuous"/>
          <w:pgSz w:w="16838" w:h="11906" w:orient="landscape"/>
          <w:pgMar w:top="1276" w:right="1134" w:bottom="992" w:left="1134" w:header="709" w:footer="709" w:gutter="0"/>
          <w:cols w:space="720"/>
        </w:sectPr>
      </w:pPr>
    </w:p>
    <w:p w:rsidR="00E33500" w:rsidRDefault="00E33500" w:rsidP="00E33500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E33500" w:rsidRDefault="00E33500" w:rsidP="00E33500">
      <w:pPr>
        <w:rPr>
          <w:rFonts w:eastAsia="Calibri"/>
          <w:szCs w:val="28"/>
        </w:rPr>
      </w:pPr>
    </w:p>
    <w:p w:rsidR="00E33500" w:rsidRDefault="00E33500" w:rsidP="00E33500">
      <w:pPr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00" w:rsidRDefault="00E33500">
      <w:r>
        <w:separator/>
      </w:r>
    </w:p>
  </w:endnote>
  <w:endnote w:type="continuationSeparator" w:id="0">
    <w:p w:rsidR="00E33500" w:rsidRDefault="00E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00" w:rsidRDefault="00E3350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500" w:rsidRDefault="00E3350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00" w:rsidRDefault="00E33500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00" w:rsidRDefault="00E33500">
      <w:r>
        <w:separator/>
      </w:r>
    </w:p>
  </w:footnote>
  <w:footnote w:type="continuationSeparator" w:id="0">
    <w:p w:rsidR="00E33500" w:rsidRDefault="00E3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23688"/>
      <w:docPartObj>
        <w:docPartGallery w:val="Page Numbers (Top of Page)"/>
        <w:docPartUnique/>
      </w:docPartObj>
    </w:sdtPr>
    <w:sdtEndPr/>
    <w:sdtContent>
      <w:p w:rsidR="00E33500" w:rsidRDefault="00E335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EE">
          <w:rPr>
            <w:noProof/>
          </w:rPr>
          <w:t>29</w:t>
        </w:r>
        <w:r>
          <w:fldChar w:fldCharType="end"/>
        </w:r>
      </w:p>
    </w:sdtContent>
  </w:sdt>
  <w:p w:rsidR="00E33500" w:rsidRDefault="00E335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E33500" w:rsidRDefault="00E335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33500" w:rsidRDefault="00E335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00" w:rsidRDefault="00E33500">
    <w:pPr>
      <w:pStyle w:val="a6"/>
      <w:jc w:val="center"/>
    </w:pPr>
  </w:p>
  <w:p w:rsidR="00E33500" w:rsidRDefault="00E33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340A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554C2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0AF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11EE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2C48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500"/>
    <w:rsid w:val="00E33660"/>
    <w:rsid w:val="00E43480"/>
    <w:rsid w:val="00E44020"/>
    <w:rsid w:val="00E50353"/>
    <w:rsid w:val="00E57217"/>
    <w:rsid w:val="00E70A56"/>
    <w:rsid w:val="00E764DF"/>
    <w:rsid w:val="00E971BC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Название Знак"/>
    <w:basedOn w:val="a0"/>
    <w:link w:val="aff6"/>
    <w:rsid w:val="00E33500"/>
    <w:rPr>
      <w:sz w:val="28"/>
    </w:rPr>
  </w:style>
  <w:style w:type="paragraph" w:styleId="aff6">
    <w:name w:val="Title"/>
    <w:basedOn w:val="a"/>
    <w:link w:val="aff5"/>
    <w:qFormat/>
    <w:rsid w:val="00E3350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0463-CD33-4286-9C14-E95946D1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6425</Words>
  <Characters>40793</Characters>
  <Application>Microsoft Office Word</Application>
  <DocSecurity>0</DocSecurity>
  <Lines>339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2018-01-09T11:08:00Z</cp:lastPrinted>
  <dcterms:created xsi:type="dcterms:W3CDTF">2017-12-27T08:53:00Z</dcterms:created>
  <dcterms:modified xsi:type="dcterms:W3CDTF">2018-01-09T11:08:00Z</dcterms:modified>
</cp:coreProperties>
</file>