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D8D" w:rsidRPr="00CD0D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13F4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13F4C">
        <w:t>3 мая 2018 года № 161-П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37EFA" w:rsidRDefault="00937EFA" w:rsidP="00937E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7EFA" w:rsidRPr="00937EFA" w:rsidRDefault="00937EFA" w:rsidP="0043539A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410AD">
        <w:rPr>
          <w:rFonts w:ascii="Times New Roman" w:hAnsi="Times New Roman" w:cs="Times New Roman"/>
          <w:sz w:val="28"/>
          <w:szCs w:val="28"/>
        </w:rPr>
        <w:t>Методик</w:t>
      </w:r>
      <w:r w:rsidRPr="00937EFA">
        <w:rPr>
          <w:rFonts w:ascii="Times New Roman" w:hAnsi="Times New Roman" w:cs="Times New Roman"/>
          <w:sz w:val="28"/>
          <w:szCs w:val="28"/>
        </w:rPr>
        <w:t xml:space="preserve">и расчета затрат, планируемых из бюджета Республики Карелия, на приобретение и содержание имущества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7EFA">
        <w:rPr>
          <w:rFonts w:ascii="Times New Roman" w:hAnsi="Times New Roman" w:cs="Times New Roman"/>
          <w:sz w:val="28"/>
          <w:szCs w:val="28"/>
        </w:rPr>
        <w:t>Республики Карелия, закрепленного за государственными учреждениями, подведомственными Министерству природных ресурсов и экологии Республики Карелия, на пра</w:t>
      </w:r>
      <w:r w:rsidR="00711DAE">
        <w:rPr>
          <w:rFonts w:ascii="Times New Roman" w:hAnsi="Times New Roman" w:cs="Times New Roman"/>
          <w:sz w:val="28"/>
          <w:szCs w:val="28"/>
        </w:rPr>
        <w:t>ве оперативного управления</w:t>
      </w:r>
    </w:p>
    <w:p w:rsidR="00937EFA" w:rsidRPr="00937EFA" w:rsidRDefault="00937EFA" w:rsidP="0043539A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37EFA" w:rsidRPr="00937EFA" w:rsidRDefault="00937EFA" w:rsidP="0043539A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37EFA" w:rsidRPr="00937EFA" w:rsidRDefault="00937EFA" w:rsidP="0043539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937E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EF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EF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EF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EF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EF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EF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EF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EF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EF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EF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EFA">
        <w:rPr>
          <w:rFonts w:ascii="Times New Roman" w:hAnsi="Times New Roman" w:cs="Times New Roman"/>
          <w:b/>
          <w:sz w:val="28"/>
          <w:szCs w:val="28"/>
        </w:rPr>
        <w:t>т</w:t>
      </w:r>
      <w:r w:rsidRPr="00937EFA">
        <w:rPr>
          <w:rFonts w:ascii="Times New Roman" w:hAnsi="Times New Roman" w:cs="Times New Roman"/>
          <w:sz w:val="28"/>
          <w:szCs w:val="28"/>
        </w:rPr>
        <w:t>:</w:t>
      </w:r>
    </w:p>
    <w:p w:rsidR="00937EFA" w:rsidRPr="00937EFA" w:rsidRDefault="00937EFA" w:rsidP="0043539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Pr="00C410AD">
        <w:rPr>
          <w:rFonts w:ascii="Times New Roman" w:hAnsi="Times New Roman" w:cs="Times New Roman"/>
          <w:sz w:val="28"/>
          <w:szCs w:val="28"/>
        </w:rPr>
        <w:t>Методику</w:t>
      </w:r>
      <w:r w:rsidRPr="00937EFA">
        <w:rPr>
          <w:rFonts w:ascii="Times New Roman" w:hAnsi="Times New Roman" w:cs="Times New Roman"/>
          <w:sz w:val="28"/>
          <w:szCs w:val="28"/>
        </w:rPr>
        <w:t xml:space="preserve"> расчета затрат, планируемых из бюджета Республики Карелия, на приобретение и содержание имущества Республики Карелия, закрепленного за государственными учреждениями, подведомственными Министерству природных ресурсов и экологии Республики Карелия, на праве оперативного управления.</w:t>
      </w:r>
    </w:p>
    <w:p w:rsidR="00937EFA" w:rsidRPr="00937EFA" w:rsidRDefault="00937EFA" w:rsidP="00937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FE1" w:rsidRDefault="00884FE1" w:rsidP="00884FE1">
      <w:pPr>
        <w:jc w:val="center"/>
        <w:rPr>
          <w:b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937EFA" w:rsidRDefault="00937EFA" w:rsidP="00937EF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937EFA" w:rsidRDefault="00937EFA" w:rsidP="00937EF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937EFA" w:rsidRDefault="00937EFA" w:rsidP="00937EF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  <w:sectPr w:rsidR="00937EFA" w:rsidSect="00B5387F">
          <w:headerReference w:type="default" r:id="rId9"/>
          <w:headerReference w:type="first" r:id="rId10"/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</w:p>
    <w:p w:rsidR="00937EFA" w:rsidRPr="00937EFA" w:rsidRDefault="00937EFA" w:rsidP="00937EFA">
      <w:pPr>
        <w:pStyle w:val="ConsPlusNormal"/>
        <w:ind w:firstLine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37EFA" w:rsidRPr="00937EFA" w:rsidRDefault="00937EFA" w:rsidP="00937EFA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7EF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bookmarkStart w:id="0" w:name="_GoBack"/>
      <w:bookmarkEnd w:id="0"/>
      <w:r w:rsidRPr="00937EF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37EFA" w:rsidRPr="00937EFA" w:rsidRDefault="00937EFA" w:rsidP="00937EFA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937EFA" w:rsidRPr="00937EFA" w:rsidRDefault="00937EFA" w:rsidP="00937EFA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 xml:space="preserve">от </w:t>
      </w:r>
      <w:r w:rsidR="004F108D">
        <w:rPr>
          <w:rFonts w:ascii="Times New Roman" w:hAnsi="Times New Roman" w:cs="Times New Roman"/>
          <w:sz w:val="28"/>
          <w:szCs w:val="28"/>
        </w:rPr>
        <w:t xml:space="preserve">3 </w:t>
      </w:r>
      <w:r w:rsidR="00B84801">
        <w:rPr>
          <w:rFonts w:ascii="Times New Roman" w:hAnsi="Times New Roman" w:cs="Times New Roman"/>
          <w:sz w:val="28"/>
          <w:szCs w:val="28"/>
        </w:rPr>
        <w:t>мая</w:t>
      </w:r>
      <w:r w:rsidR="004F108D">
        <w:rPr>
          <w:rFonts w:ascii="Times New Roman" w:hAnsi="Times New Roman" w:cs="Times New Roman"/>
          <w:sz w:val="28"/>
          <w:szCs w:val="28"/>
        </w:rPr>
        <w:t xml:space="preserve"> 2018 года № 161-П</w:t>
      </w:r>
    </w:p>
    <w:p w:rsidR="00937EFA" w:rsidRDefault="00937EFA" w:rsidP="00937EFA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937EFA" w:rsidRPr="00937EFA" w:rsidRDefault="00937EFA" w:rsidP="00937E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>Методика</w:t>
      </w:r>
    </w:p>
    <w:p w:rsidR="00937EFA" w:rsidRPr="00937EFA" w:rsidRDefault="00937EFA" w:rsidP="00937E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 xml:space="preserve">расчета затрат, планируемых из бюджета Республики Карелия,  </w:t>
      </w:r>
      <w:r>
        <w:rPr>
          <w:rFonts w:ascii="Times New Roman" w:hAnsi="Times New Roman" w:cs="Times New Roman"/>
          <w:sz w:val="28"/>
          <w:szCs w:val="28"/>
        </w:rPr>
        <w:br/>
      </w:r>
      <w:r w:rsidRPr="00937EFA">
        <w:rPr>
          <w:rFonts w:ascii="Times New Roman" w:hAnsi="Times New Roman" w:cs="Times New Roman"/>
          <w:sz w:val="28"/>
          <w:szCs w:val="28"/>
        </w:rPr>
        <w:t xml:space="preserve">на приобретение и содержание  имущества Республики Карелия, закрепленного за государственными учреждениями,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937EFA">
        <w:rPr>
          <w:rFonts w:ascii="Times New Roman" w:hAnsi="Times New Roman" w:cs="Times New Roman"/>
          <w:sz w:val="28"/>
          <w:szCs w:val="28"/>
        </w:rPr>
        <w:t>подведомственными Министерству природных ресурсов и экологии Республики Карелия, н</w:t>
      </w:r>
      <w:r>
        <w:rPr>
          <w:rFonts w:ascii="Times New Roman" w:hAnsi="Times New Roman" w:cs="Times New Roman"/>
          <w:sz w:val="28"/>
          <w:szCs w:val="28"/>
        </w:rPr>
        <w:t>а праве оперативного управления</w:t>
      </w:r>
    </w:p>
    <w:p w:rsidR="00937EFA" w:rsidRPr="00937EFA" w:rsidRDefault="00937EFA" w:rsidP="00937E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7EFA" w:rsidRPr="00937EFA" w:rsidRDefault="00937EFA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>1. В соответствии с настоящей Методикой производится расчет объема средств  бюджета Республики Карелия  на приобретение и содержание имущества Республики Карелия, закрепленного за государственными учреждениями, подведомственными Министерству природных ресурсов и экологии Республики Карелия, на праве оперативного управления (далее – Учреждения, имущество Республики Карелия).</w:t>
      </w:r>
    </w:p>
    <w:p w:rsidR="00937EFA" w:rsidRDefault="00711DAE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</w:t>
      </w:r>
      <w:r w:rsidR="00937EFA" w:rsidRPr="00937EFA">
        <w:rPr>
          <w:rFonts w:ascii="Times New Roman" w:hAnsi="Times New Roman" w:cs="Times New Roman"/>
          <w:sz w:val="28"/>
          <w:szCs w:val="28"/>
        </w:rPr>
        <w:t>м средств бюджета Республики Карелия на приобретение и содержание имущества Республики Карелия (О) рассчитывается по следующей формуле:</w:t>
      </w:r>
    </w:p>
    <w:p w:rsidR="00937EFA" w:rsidRPr="00937EFA" w:rsidRDefault="00937EFA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EFA" w:rsidRDefault="00937EFA" w:rsidP="00937E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>О = О</w:t>
      </w:r>
      <w:proofErr w:type="gramStart"/>
      <w:r w:rsidRPr="00937EF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37EFA">
        <w:rPr>
          <w:rFonts w:ascii="Times New Roman" w:hAnsi="Times New Roman" w:cs="Times New Roman"/>
          <w:sz w:val="28"/>
          <w:szCs w:val="28"/>
        </w:rPr>
        <w:t xml:space="preserve"> + О2 + О3, </w:t>
      </w:r>
    </w:p>
    <w:p w:rsidR="00937EFA" w:rsidRDefault="00937EFA" w:rsidP="00937E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7EFA" w:rsidRPr="00937EFA" w:rsidRDefault="00937EFA" w:rsidP="00937E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7EFA" w:rsidRPr="00937EFA" w:rsidRDefault="00937EFA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937EF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37EFA">
        <w:rPr>
          <w:rFonts w:ascii="Times New Roman" w:hAnsi="Times New Roman" w:cs="Times New Roman"/>
          <w:sz w:val="28"/>
          <w:szCs w:val="28"/>
        </w:rPr>
        <w:t xml:space="preserve"> – затраты на приобретение и содержание имущества Республики Карелия, в том числе на  проведение текущих и капитальных ремонтов объектов недвижимого имущества Республики Карелия, проведение государственной регистрации имущества Республики Карелия и имущественных прав на него, </w:t>
      </w:r>
      <w:proofErr w:type="gramStart"/>
      <w:r w:rsidRPr="00937EFA">
        <w:rPr>
          <w:rFonts w:ascii="Times New Roman" w:hAnsi="Times New Roman" w:cs="Times New Roman"/>
          <w:sz w:val="28"/>
          <w:szCs w:val="28"/>
        </w:rPr>
        <w:t>обязательное страхование гражданской ответственности владельцев транспортных средств, оплату услуг по страхованию  недвижимого имущества Республики Карелия, уплату земельного налога, налога на имущество организаций, транспортного налога, проведение энергетического обследования зданий, ст</w:t>
      </w:r>
      <w:r w:rsidR="00711DAE">
        <w:rPr>
          <w:rFonts w:ascii="Times New Roman" w:hAnsi="Times New Roman" w:cs="Times New Roman"/>
          <w:sz w:val="28"/>
          <w:szCs w:val="28"/>
        </w:rPr>
        <w:t>роений и сооружений, мероприятия</w:t>
      </w:r>
      <w:r w:rsidRPr="00937EFA">
        <w:rPr>
          <w:rFonts w:ascii="Times New Roman" w:hAnsi="Times New Roman" w:cs="Times New Roman"/>
          <w:sz w:val="28"/>
          <w:szCs w:val="28"/>
        </w:rPr>
        <w:t xml:space="preserve"> по энергосбережению и повышению энергетической эффективности и иные затраты, связанные с приобретением и содержанием имущества Республики Карелия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7EFA">
        <w:rPr>
          <w:rFonts w:ascii="Times New Roman" w:hAnsi="Times New Roman" w:cs="Times New Roman"/>
          <w:sz w:val="28"/>
          <w:szCs w:val="28"/>
        </w:rPr>
        <w:t xml:space="preserve"> затраты на содержани</w:t>
      </w:r>
      <w:r>
        <w:rPr>
          <w:rFonts w:ascii="Times New Roman" w:hAnsi="Times New Roman" w:cs="Times New Roman"/>
          <w:sz w:val="28"/>
          <w:szCs w:val="28"/>
        </w:rPr>
        <w:t>е имущества Республики Карелия)</w:t>
      </w:r>
      <w:r w:rsidRPr="00937E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7EFA" w:rsidRPr="00937EFA" w:rsidRDefault="00937EFA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937EF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37EFA">
        <w:rPr>
          <w:rFonts w:ascii="Times New Roman" w:hAnsi="Times New Roman" w:cs="Times New Roman"/>
          <w:sz w:val="28"/>
          <w:szCs w:val="28"/>
        </w:rPr>
        <w:t xml:space="preserve"> – затраты на приобретение транспортных средств для государственных казенных учреждений – центральных лесничеств (далее </w:t>
      </w:r>
      <w:r w:rsidR="00711DAE">
        <w:rPr>
          <w:rFonts w:ascii="Times New Roman" w:hAnsi="Times New Roman" w:cs="Times New Roman"/>
          <w:sz w:val="28"/>
          <w:szCs w:val="28"/>
        </w:rPr>
        <w:t xml:space="preserve">– </w:t>
      </w:r>
      <w:r w:rsidRPr="00937EFA">
        <w:rPr>
          <w:rFonts w:ascii="Times New Roman" w:hAnsi="Times New Roman" w:cs="Times New Roman"/>
          <w:sz w:val="28"/>
          <w:szCs w:val="28"/>
        </w:rPr>
        <w:t>затраты на приобретение транспортных средств);</w:t>
      </w:r>
    </w:p>
    <w:p w:rsidR="00937EFA" w:rsidRPr="00937EFA" w:rsidRDefault="00937EFA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 xml:space="preserve">О3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7EFA">
        <w:rPr>
          <w:rFonts w:ascii="Times New Roman" w:hAnsi="Times New Roman" w:cs="Times New Roman"/>
          <w:sz w:val="28"/>
          <w:szCs w:val="28"/>
        </w:rPr>
        <w:t xml:space="preserve">  затраты на приобретение специальной одежды и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1087E">
        <w:rPr>
          <w:rFonts w:ascii="Times New Roman" w:hAnsi="Times New Roman" w:cs="Times New Roman"/>
          <w:sz w:val="28"/>
          <w:szCs w:val="28"/>
        </w:rPr>
        <w:t xml:space="preserve"> </w:t>
      </w:r>
      <w:r w:rsidRPr="00937EFA">
        <w:rPr>
          <w:rFonts w:ascii="Times New Roman" w:hAnsi="Times New Roman" w:cs="Times New Roman"/>
          <w:sz w:val="28"/>
          <w:szCs w:val="28"/>
        </w:rPr>
        <w:t xml:space="preserve">затраты на приобретение специальной одежды </w:t>
      </w:r>
      <w:r w:rsidR="00711DAE">
        <w:rPr>
          <w:rFonts w:ascii="Times New Roman" w:hAnsi="Times New Roman" w:cs="Times New Roman"/>
          <w:sz w:val="28"/>
          <w:szCs w:val="28"/>
        </w:rPr>
        <w:t>и средств индивидуальной защиты</w:t>
      </w:r>
      <w:r w:rsidR="0051087E">
        <w:rPr>
          <w:rFonts w:ascii="Times New Roman" w:hAnsi="Times New Roman" w:cs="Times New Roman"/>
          <w:sz w:val="28"/>
          <w:szCs w:val="28"/>
        </w:rPr>
        <w:t>,</w:t>
      </w:r>
      <w:r w:rsidR="0051087E" w:rsidRPr="0051087E">
        <w:rPr>
          <w:rFonts w:ascii="Times New Roman" w:hAnsi="Times New Roman" w:cs="Times New Roman"/>
          <w:sz w:val="28"/>
          <w:szCs w:val="28"/>
        </w:rPr>
        <w:t xml:space="preserve"> </w:t>
      </w:r>
      <w:r w:rsidR="0051087E" w:rsidRPr="00937EFA">
        <w:rPr>
          <w:rFonts w:ascii="Times New Roman" w:hAnsi="Times New Roman" w:cs="Times New Roman"/>
          <w:sz w:val="28"/>
          <w:szCs w:val="28"/>
        </w:rPr>
        <w:t>работники</w:t>
      </w:r>
      <w:r w:rsidRPr="00937EFA">
        <w:rPr>
          <w:rFonts w:ascii="Times New Roman" w:hAnsi="Times New Roman" w:cs="Times New Roman"/>
          <w:sz w:val="28"/>
          <w:szCs w:val="28"/>
        </w:rPr>
        <w:t>).</w:t>
      </w:r>
    </w:p>
    <w:p w:rsidR="00937EFA" w:rsidRDefault="00937EFA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lastRenderedPageBreak/>
        <w:t>3. Затраты на содержание имущества Республики Карелия (О</w:t>
      </w:r>
      <w:proofErr w:type="gramStart"/>
      <w:r w:rsidRPr="00937EF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37EFA">
        <w:rPr>
          <w:rFonts w:ascii="Times New Roman" w:hAnsi="Times New Roman" w:cs="Times New Roman"/>
          <w:sz w:val="28"/>
          <w:szCs w:val="28"/>
        </w:rPr>
        <w:t>) рассчитываются по следующей формуле:</w:t>
      </w:r>
    </w:p>
    <w:p w:rsidR="00937EFA" w:rsidRPr="00937EFA" w:rsidRDefault="00937EFA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EFA" w:rsidRDefault="00937EFA" w:rsidP="00937E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937EF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37EF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37EFA">
        <w:rPr>
          <w:rFonts w:ascii="Times New Roman" w:hAnsi="Times New Roman" w:cs="Times New Roman"/>
          <w:sz w:val="28"/>
          <w:szCs w:val="28"/>
        </w:rPr>
        <w:t>ОСос</w:t>
      </w:r>
      <w:proofErr w:type="spellEnd"/>
      <w:r w:rsidRPr="00937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EF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37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EFA">
        <w:rPr>
          <w:rFonts w:ascii="Times New Roman" w:hAnsi="Times New Roman" w:cs="Times New Roman"/>
          <w:sz w:val="28"/>
          <w:szCs w:val="28"/>
        </w:rPr>
        <w:t>Нси</w:t>
      </w:r>
      <w:proofErr w:type="spellEnd"/>
      <w:r w:rsidRPr="00937E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EFA" w:rsidRDefault="00937EFA" w:rsidP="00937E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7EFA" w:rsidRPr="00937EFA" w:rsidRDefault="00937EFA" w:rsidP="00937E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>где:</w:t>
      </w:r>
    </w:p>
    <w:p w:rsidR="00937EFA" w:rsidRPr="00937EFA" w:rsidRDefault="00937EFA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EFA">
        <w:rPr>
          <w:rFonts w:ascii="Times New Roman" w:hAnsi="Times New Roman" w:cs="Times New Roman"/>
          <w:sz w:val="28"/>
          <w:szCs w:val="28"/>
        </w:rPr>
        <w:t>ОСос</w:t>
      </w:r>
      <w:proofErr w:type="spellEnd"/>
      <w:r w:rsidRPr="0093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7EFA">
        <w:rPr>
          <w:rFonts w:ascii="Times New Roman" w:hAnsi="Times New Roman" w:cs="Times New Roman"/>
          <w:sz w:val="28"/>
          <w:szCs w:val="28"/>
        </w:rPr>
        <w:t xml:space="preserve"> остаточная стоимость основных средств по состоянию на 1 января года, предшествующего планируемому, определяемая по данным бухгалтерского баланса по состоянию на 1 января года, предшествующего планируемому </w:t>
      </w:r>
      <w:r w:rsidR="00711DAE">
        <w:rPr>
          <w:rFonts w:ascii="Times New Roman" w:hAnsi="Times New Roman" w:cs="Times New Roman"/>
          <w:sz w:val="28"/>
          <w:szCs w:val="28"/>
        </w:rPr>
        <w:br/>
      </w:r>
      <w:r w:rsidRPr="00937EFA">
        <w:rPr>
          <w:rFonts w:ascii="Times New Roman" w:hAnsi="Times New Roman" w:cs="Times New Roman"/>
          <w:sz w:val="28"/>
          <w:szCs w:val="28"/>
        </w:rPr>
        <w:t>(тыс. руб.);</w:t>
      </w:r>
    </w:p>
    <w:p w:rsidR="00937EFA" w:rsidRPr="00937EFA" w:rsidRDefault="00937EFA" w:rsidP="00711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EFA">
        <w:rPr>
          <w:rFonts w:ascii="Times New Roman" w:hAnsi="Times New Roman" w:cs="Times New Roman"/>
          <w:sz w:val="28"/>
          <w:szCs w:val="28"/>
        </w:rPr>
        <w:t>Нси</w:t>
      </w:r>
      <w:proofErr w:type="spellEnd"/>
      <w:r w:rsidRPr="0093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7EFA">
        <w:rPr>
          <w:rFonts w:ascii="Times New Roman" w:hAnsi="Times New Roman" w:cs="Times New Roman"/>
          <w:sz w:val="28"/>
          <w:szCs w:val="28"/>
        </w:rPr>
        <w:t xml:space="preserve"> норматив на содержание имущества Республ</w:t>
      </w:r>
      <w:r w:rsidR="00711DAE">
        <w:rPr>
          <w:rFonts w:ascii="Times New Roman" w:hAnsi="Times New Roman" w:cs="Times New Roman"/>
          <w:sz w:val="28"/>
          <w:szCs w:val="28"/>
        </w:rPr>
        <w:t>ики Карелия, составляющий 15,99</w:t>
      </w:r>
      <w:r w:rsidRPr="00937EFA">
        <w:rPr>
          <w:rFonts w:ascii="Times New Roman" w:hAnsi="Times New Roman" w:cs="Times New Roman"/>
          <w:sz w:val="28"/>
          <w:szCs w:val="28"/>
        </w:rPr>
        <w:t>% от остаточной стоимости основных средств по состоянию на 1 января года, предшествующего планируемому.</w:t>
      </w:r>
      <w:r w:rsidRPr="00937EFA">
        <w:rPr>
          <w:rFonts w:ascii="Times New Roman" w:hAnsi="Times New Roman" w:cs="Times New Roman"/>
          <w:sz w:val="28"/>
          <w:szCs w:val="28"/>
        </w:rPr>
        <w:tab/>
      </w:r>
    </w:p>
    <w:p w:rsidR="00937EFA" w:rsidRDefault="00937EFA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>4. Затраты на приобретение транспортных средств (О</w:t>
      </w:r>
      <w:proofErr w:type="gramStart"/>
      <w:r w:rsidRPr="00937EF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37EFA">
        <w:rPr>
          <w:rFonts w:ascii="Times New Roman" w:hAnsi="Times New Roman" w:cs="Times New Roman"/>
          <w:sz w:val="28"/>
          <w:szCs w:val="28"/>
        </w:rPr>
        <w:t>) рассчитываются по следующей формуле:</w:t>
      </w:r>
    </w:p>
    <w:p w:rsidR="00937EFA" w:rsidRPr="00937EFA" w:rsidRDefault="00937EFA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EFA" w:rsidRDefault="00937EFA" w:rsidP="00937E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937EFA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EFA">
        <w:rPr>
          <w:rFonts w:ascii="Times New Roman" w:hAnsi="Times New Roman" w:cs="Times New Roman"/>
          <w:sz w:val="28"/>
          <w:szCs w:val="28"/>
        </w:rPr>
        <w:t xml:space="preserve">= </w:t>
      </w:r>
      <w:r w:rsidRPr="00937EFA">
        <w:rPr>
          <w:rFonts w:ascii="Times New Roman" w:hAnsi="Times New Roman" w:cs="Times New Roman"/>
          <w:sz w:val="28"/>
          <w:szCs w:val="28"/>
        </w:rPr>
        <w:sym w:font="Symbol" w:char="F0E5"/>
      </w:r>
      <w:r w:rsidRPr="00937E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7EF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13F4C">
        <w:rPr>
          <w:rFonts w:ascii="Times New Roman" w:hAnsi="Times New Roman" w:cs="Times New Roman"/>
          <w:sz w:val="28"/>
          <w:szCs w:val="28"/>
        </w:rPr>
        <w:t xml:space="preserve"> </w:t>
      </w:r>
      <w:r w:rsidRPr="00937EFA">
        <w:rPr>
          <w:rFonts w:ascii="Times New Roman" w:hAnsi="Times New Roman" w:cs="Times New Roman"/>
          <w:sz w:val="28"/>
          <w:szCs w:val="28"/>
        </w:rPr>
        <w:t>/</w:t>
      </w:r>
      <w:r w:rsidR="00B13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EFA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37EFA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937EF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937EFA">
        <w:rPr>
          <w:rFonts w:ascii="Times New Roman" w:hAnsi="Times New Roman" w:cs="Times New Roman"/>
          <w:sz w:val="28"/>
          <w:szCs w:val="28"/>
        </w:rPr>
        <w:t xml:space="preserve">) ×  </w:t>
      </w:r>
      <w:proofErr w:type="spellStart"/>
      <w:r w:rsidRPr="00937EFA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937E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EFA" w:rsidRDefault="00937EFA" w:rsidP="00937E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7EFA" w:rsidRDefault="00937EFA" w:rsidP="00937E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>где:</w:t>
      </w:r>
      <w:r w:rsidRPr="00937EFA">
        <w:rPr>
          <w:rFonts w:ascii="Times New Roman" w:hAnsi="Times New Roman" w:cs="Times New Roman"/>
          <w:sz w:val="28"/>
          <w:szCs w:val="28"/>
        </w:rPr>
        <w:tab/>
      </w:r>
    </w:p>
    <w:p w:rsidR="00937EFA" w:rsidRDefault="00937EFA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EF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37EFA">
        <w:rPr>
          <w:rFonts w:ascii="Times New Roman" w:hAnsi="Times New Roman" w:cs="Times New Roman"/>
          <w:sz w:val="28"/>
          <w:szCs w:val="28"/>
        </w:rPr>
        <w:t xml:space="preserve"> – расчетная потребн</w:t>
      </w:r>
      <w:r w:rsidR="00711DAE">
        <w:rPr>
          <w:rFonts w:ascii="Times New Roman" w:hAnsi="Times New Roman" w:cs="Times New Roman"/>
          <w:sz w:val="28"/>
          <w:szCs w:val="28"/>
        </w:rPr>
        <w:t>ость транспортных средств i-</w:t>
      </w:r>
      <w:r w:rsidRPr="00937EFA">
        <w:rPr>
          <w:rFonts w:ascii="Times New Roman" w:hAnsi="Times New Roman" w:cs="Times New Roman"/>
          <w:sz w:val="28"/>
          <w:szCs w:val="28"/>
        </w:rPr>
        <w:t>го вида, шт</w:t>
      </w:r>
      <w:r w:rsidR="0051087E">
        <w:rPr>
          <w:rFonts w:ascii="Times New Roman" w:hAnsi="Times New Roman" w:cs="Times New Roman"/>
          <w:sz w:val="28"/>
          <w:szCs w:val="28"/>
        </w:rPr>
        <w:t>ук</w:t>
      </w:r>
      <w:r w:rsidR="00711DAE">
        <w:rPr>
          <w:rFonts w:ascii="Times New Roman" w:hAnsi="Times New Roman" w:cs="Times New Roman"/>
          <w:sz w:val="28"/>
          <w:szCs w:val="28"/>
        </w:rPr>
        <w:t>;</w:t>
      </w:r>
    </w:p>
    <w:p w:rsidR="00937EFA" w:rsidRPr="00937EFA" w:rsidRDefault="00937EFA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EFA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37EFA">
        <w:rPr>
          <w:rFonts w:ascii="Times New Roman" w:hAnsi="Times New Roman" w:cs="Times New Roman"/>
          <w:sz w:val="28"/>
          <w:szCs w:val="28"/>
        </w:rPr>
        <w:t xml:space="preserve"> – норма амортизационных отчислений для транспортного средства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711DAE">
        <w:rPr>
          <w:rFonts w:ascii="Times New Roman" w:hAnsi="Times New Roman" w:cs="Times New Roman"/>
          <w:sz w:val="28"/>
          <w:szCs w:val="28"/>
        </w:rPr>
        <w:t>i-го вида в соответствии с п</w:t>
      </w:r>
      <w:r w:rsidRPr="00937EFA">
        <w:rPr>
          <w:rFonts w:ascii="Times New Roman" w:hAnsi="Times New Roman" w:cs="Times New Roman"/>
          <w:sz w:val="28"/>
          <w:szCs w:val="28"/>
        </w:rPr>
        <w:t xml:space="preserve">остановлением Совета Министров СССР </w:t>
      </w:r>
      <w:r>
        <w:rPr>
          <w:rFonts w:ascii="Times New Roman" w:hAnsi="Times New Roman" w:cs="Times New Roman"/>
          <w:sz w:val="28"/>
          <w:szCs w:val="28"/>
        </w:rPr>
        <w:br/>
      </w:r>
      <w:r w:rsidRPr="00937EFA">
        <w:rPr>
          <w:rFonts w:ascii="Times New Roman" w:hAnsi="Times New Roman" w:cs="Times New Roman"/>
          <w:sz w:val="28"/>
          <w:szCs w:val="28"/>
        </w:rPr>
        <w:t xml:space="preserve">от 22 октября 1990 года  № 1072 «О единых нормах амортизационных отчислений на полное восстановление основных фондов народного хозяйства СССР»; </w:t>
      </w:r>
    </w:p>
    <w:p w:rsidR="00937EFA" w:rsidRPr="00937EFA" w:rsidRDefault="00937EFA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EF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937EFA"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 к нормам амортизации</w:t>
      </w:r>
      <w:r w:rsidR="00711DAE">
        <w:rPr>
          <w:rFonts w:ascii="Times New Roman" w:hAnsi="Times New Roman" w:cs="Times New Roman"/>
          <w:sz w:val="28"/>
          <w:szCs w:val="28"/>
        </w:rPr>
        <w:t xml:space="preserve"> для транспортного средства i-</w:t>
      </w:r>
      <w:r w:rsidRPr="00937EFA">
        <w:rPr>
          <w:rFonts w:ascii="Times New Roman" w:hAnsi="Times New Roman" w:cs="Times New Roman"/>
          <w:sz w:val="28"/>
          <w:szCs w:val="28"/>
        </w:rPr>
        <w:t xml:space="preserve">го вида в соответствии с </w:t>
      </w:r>
      <w:r w:rsidR="0051087E">
        <w:rPr>
          <w:rFonts w:ascii="Times New Roman" w:hAnsi="Times New Roman" w:cs="Times New Roman"/>
          <w:sz w:val="28"/>
          <w:szCs w:val="28"/>
        </w:rPr>
        <w:t>п</w:t>
      </w:r>
      <w:r w:rsidRPr="00937EFA">
        <w:rPr>
          <w:rFonts w:ascii="Times New Roman" w:hAnsi="Times New Roman" w:cs="Times New Roman"/>
          <w:sz w:val="28"/>
          <w:szCs w:val="28"/>
        </w:rPr>
        <w:t>остановлением Совета Министров СССР от 22 октября 1990 года  № 1072 «О единых нормах амортизационных отчислений на полное восстановление основных фондов народного хозяйства СССР»;</w:t>
      </w:r>
    </w:p>
    <w:p w:rsidR="00937EFA" w:rsidRPr="00937EFA" w:rsidRDefault="00937EFA" w:rsidP="00711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EFA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937EFA">
        <w:rPr>
          <w:rFonts w:ascii="Times New Roman" w:hAnsi="Times New Roman" w:cs="Times New Roman"/>
          <w:sz w:val="28"/>
          <w:szCs w:val="28"/>
        </w:rPr>
        <w:t xml:space="preserve"> – цена еди</w:t>
      </w:r>
      <w:r w:rsidR="00711DAE">
        <w:rPr>
          <w:rFonts w:ascii="Times New Roman" w:hAnsi="Times New Roman" w:cs="Times New Roman"/>
          <w:sz w:val="28"/>
          <w:szCs w:val="28"/>
        </w:rPr>
        <w:t>ницы транспортного средства i-</w:t>
      </w:r>
      <w:r w:rsidRPr="00937EFA">
        <w:rPr>
          <w:rFonts w:ascii="Times New Roman" w:hAnsi="Times New Roman" w:cs="Times New Roman"/>
          <w:sz w:val="28"/>
          <w:szCs w:val="28"/>
        </w:rPr>
        <w:t xml:space="preserve">го вида, определяемая в соответствии с требованиями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7EFA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937EFA" w:rsidRDefault="00937EFA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>5. Затраты на приобретение специальной одежды и средств индивидуальной защиты (О3) рассчитываются по следующей формуле:</w:t>
      </w:r>
    </w:p>
    <w:p w:rsidR="00937EFA" w:rsidRPr="00937EFA" w:rsidRDefault="00937EFA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EFA" w:rsidRDefault="00937EFA" w:rsidP="00937E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 xml:space="preserve">О3 = </w:t>
      </w:r>
      <w:r w:rsidRPr="00937EFA">
        <w:rPr>
          <w:rFonts w:ascii="Times New Roman" w:hAnsi="Times New Roman" w:cs="Times New Roman"/>
          <w:sz w:val="28"/>
          <w:szCs w:val="28"/>
        </w:rPr>
        <w:sym w:font="Symbol" w:char="F0E5"/>
      </w:r>
      <w:r w:rsidRPr="00937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EFA">
        <w:rPr>
          <w:rFonts w:ascii="Times New Roman" w:hAnsi="Times New Roman" w:cs="Times New Roman"/>
          <w:sz w:val="28"/>
          <w:szCs w:val="28"/>
        </w:rPr>
        <w:t>Чр</w:t>
      </w:r>
      <w:proofErr w:type="gramStart"/>
      <w:r w:rsidRPr="00937EF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37EFA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937EFA">
        <w:rPr>
          <w:rFonts w:ascii="Times New Roman" w:hAnsi="Times New Roman" w:cs="Times New Roman"/>
          <w:sz w:val="28"/>
          <w:szCs w:val="28"/>
        </w:rPr>
        <w:t>Нрi</w:t>
      </w:r>
      <w:proofErr w:type="spellEnd"/>
      <w:r w:rsidRPr="00937E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EFA" w:rsidRDefault="00937EFA" w:rsidP="00937E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7EFA" w:rsidRPr="00937EFA" w:rsidRDefault="00937EFA" w:rsidP="00937E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7EFA" w:rsidRPr="00937EFA" w:rsidRDefault="00937EFA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EFA">
        <w:rPr>
          <w:rFonts w:ascii="Times New Roman" w:hAnsi="Times New Roman" w:cs="Times New Roman"/>
          <w:sz w:val="28"/>
          <w:szCs w:val="28"/>
        </w:rPr>
        <w:t>Чр</w:t>
      </w:r>
      <w:proofErr w:type="gramStart"/>
      <w:r w:rsidRPr="00937EF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37EFA">
        <w:rPr>
          <w:rFonts w:ascii="Times New Roman" w:hAnsi="Times New Roman" w:cs="Times New Roman"/>
          <w:sz w:val="28"/>
          <w:szCs w:val="28"/>
        </w:rPr>
        <w:t xml:space="preserve"> – расчетная численность работников, чел</w:t>
      </w:r>
      <w:r w:rsidR="0051087E">
        <w:rPr>
          <w:rFonts w:ascii="Times New Roman" w:hAnsi="Times New Roman" w:cs="Times New Roman"/>
          <w:sz w:val="28"/>
          <w:szCs w:val="28"/>
        </w:rPr>
        <w:t>овек</w:t>
      </w:r>
      <w:r w:rsidRPr="00937EFA">
        <w:rPr>
          <w:rFonts w:ascii="Times New Roman" w:hAnsi="Times New Roman" w:cs="Times New Roman"/>
          <w:sz w:val="28"/>
          <w:szCs w:val="28"/>
        </w:rPr>
        <w:t>;</w:t>
      </w:r>
    </w:p>
    <w:p w:rsidR="00937EFA" w:rsidRDefault="00937EFA" w:rsidP="00937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EFA">
        <w:rPr>
          <w:rFonts w:ascii="Times New Roman" w:hAnsi="Times New Roman" w:cs="Times New Roman"/>
          <w:sz w:val="28"/>
          <w:szCs w:val="28"/>
        </w:rPr>
        <w:t>Нр</w:t>
      </w:r>
      <w:proofErr w:type="gramStart"/>
      <w:r w:rsidRPr="00937EF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37EFA">
        <w:rPr>
          <w:rFonts w:ascii="Times New Roman" w:hAnsi="Times New Roman" w:cs="Times New Roman"/>
          <w:sz w:val="28"/>
          <w:szCs w:val="28"/>
        </w:rPr>
        <w:t xml:space="preserve"> – стоимость комплект</w:t>
      </w:r>
      <w:r w:rsidR="00711DAE">
        <w:rPr>
          <w:rFonts w:ascii="Times New Roman" w:hAnsi="Times New Roman" w:cs="Times New Roman"/>
          <w:sz w:val="28"/>
          <w:szCs w:val="28"/>
        </w:rPr>
        <w:t>а i-</w:t>
      </w:r>
      <w:r w:rsidRPr="00937EFA">
        <w:rPr>
          <w:rFonts w:ascii="Times New Roman" w:hAnsi="Times New Roman" w:cs="Times New Roman"/>
          <w:sz w:val="28"/>
          <w:szCs w:val="28"/>
        </w:rPr>
        <w:t xml:space="preserve">го вида специальной одежды </w:t>
      </w:r>
      <w:r w:rsidR="00711DAE">
        <w:rPr>
          <w:rFonts w:ascii="Times New Roman" w:hAnsi="Times New Roman" w:cs="Times New Roman"/>
          <w:sz w:val="28"/>
          <w:szCs w:val="28"/>
        </w:rPr>
        <w:t xml:space="preserve">и средств индивидуальной защиты </w:t>
      </w:r>
      <w:r w:rsidR="00B13F4C">
        <w:rPr>
          <w:rFonts w:ascii="Times New Roman" w:hAnsi="Times New Roman" w:cs="Times New Roman"/>
          <w:sz w:val="28"/>
          <w:szCs w:val="28"/>
        </w:rPr>
        <w:t>в год (тыс. руб.)</w:t>
      </w:r>
      <w:r w:rsidRPr="00937EFA">
        <w:rPr>
          <w:rFonts w:ascii="Times New Roman" w:hAnsi="Times New Roman" w:cs="Times New Roman"/>
          <w:sz w:val="28"/>
          <w:szCs w:val="28"/>
        </w:rPr>
        <w:t>.</w:t>
      </w:r>
    </w:p>
    <w:p w:rsidR="00711DAE" w:rsidRPr="00937EFA" w:rsidRDefault="00711DAE" w:rsidP="00711DA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84FE1" w:rsidRPr="00937EFA" w:rsidRDefault="00884FE1" w:rsidP="00937EFA">
      <w:pPr>
        <w:ind w:firstLine="720"/>
        <w:jc w:val="both"/>
        <w:rPr>
          <w:szCs w:val="28"/>
        </w:rPr>
      </w:pPr>
    </w:p>
    <w:sectPr w:rsidR="00884FE1" w:rsidRPr="00937EFA" w:rsidSect="00711DAE">
      <w:pgSz w:w="11906" w:h="16838"/>
      <w:pgMar w:top="567" w:right="567" w:bottom="567" w:left="1559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406390"/>
      <w:docPartObj>
        <w:docPartGallery w:val="Page Numbers (Top of Page)"/>
        <w:docPartUnique/>
      </w:docPartObj>
    </w:sdtPr>
    <w:sdtContent>
      <w:p w:rsidR="00711DAE" w:rsidRDefault="00711DAE">
        <w:pPr>
          <w:pStyle w:val="a7"/>
          <w:jc w:val="center"/>
        </w:pPr>
        <w:r>
          <w:t>2</w:t>
        </w:r>
      </w:p>
    </w:sdtContent>
  </w:sdt>
  <w:p w:rsidR="00711DAE" w:rsidRDefault="00711D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AE" w:rsidRDefault="00711DAE">
    <w:pPr>
      <w:pStyle w:val="a7"/>
      <w:jc w:val="center"/>
    </w:pPr>
  </w:p>
  <w:p w:rsidR="00937EFA" w:rsidRDefault="00937E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3D89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3539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08D"/>
    <w:rsid w:val="004F1DCE"/>
    <w:rsid w:val="0051087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11DAE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37EFA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2F75"/>
    <w:rsid w:val="00AD6FA7"/>
    <w:rsid w:val="00AE3683"/>
    <w:rsid w:val="00B02337"/>
    <w:rsid w:val="00B13F4C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4801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410AD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0D8D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B138-BAAA-4B69-A9C9-E1B1503B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617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10</cp:revision>
  <cp:lastPrinted>2018-05-04T08:27:00Z</cp:lastPrinted>
  <dcterms:created xsi:type="dcterms:W3CDTF">2018-04-24T07:53:00Z</dcterms:created>
  <dcterms:modified xsi:type="dcterms:W3CDTF">2018-05-04T08:53:00Z</dcterms:modified>
</cp:coreProperties>
</file>