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83F" w:rsidRPr="00F678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1312;mso-position-horizontal-relative:text;mso-position-vertical-relative:text" stroked="f">
            <v:textbox style="mso-next-textbox:#_x0000_s1026">
              <w:txbxContent>
                <w:p w:rsidR="004B6B61" w:rsidRDefault="004B6B6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538D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538DC">
        <w:t>25 июля 2018 года № 276-П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987039" w:rsidRDefault="00987039" w:rsidP="00987039">
      <w:pPr>
        <w:autoSpaceDE w:val="0"/>
        <w:autoSpaceDN w:val="0"/>
        <w:adjustRightInd w:val="0"/>
        <w:ind w:right="282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О внесении изменений в постановление Правительства</w:t>
      </w:r>
    </w:p>
    <w:p w:rsidR="00987039" w:rsidRDefault="00987039" w:rsidP="00987039">
      <w:pPr>
        <w:autoSpaceDE w:val="0"/>
        <w:autoSpaceDN w:val="0"/>
        <w:adjustRightInd w:val="0"/>
        <w:ind w:right="282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Республики Карелия от 26 декабря 2014 года № 415-П</w:t>
      </w:r>
    </w:p>
    <w:p w:rsidR="00987039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039" w:rsidRDefault="00987039" w:rsidP="00987039">
      <w:pPr>
        <w:pStyle w:val="ConsPlusNormal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98703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03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03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03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03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703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03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03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03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03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03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03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7039" w:rsidRDefault="00987039" w:rsidP="00987039">
      <w:pPr>
        <w:autoSpaceDE w:val="0"/>
        <w:autoSpaceDN w:val="0"/>
        <w:adjustRightInd w:val="0"/>
        <w:ind w:right="282"/>
        <w:jc w:val="both"/>
        <w:rPr>
          <w:szCs w:val="28"/>
        </w:rPr>
      </w:pPr>
      <w:r>
        <w:rPr>
          <w:bCs/>
          <w:iCs/>
          <w:szCs w:val="28"/>
          <w:lang w:eastAsia="en-US"/>
        </w:rPr>
        <w:t xml:space="preserve">         </w:t>
      </w:r>
      <w:r>
        <w:rPr>
          <w:bCs/>
          <w:iCs/>
          <w:szCs w:val="28"/>
          <w:lang w:eastAsia="en-US"/>
        </w:rPr>
        <w:tab/>
      </w:r>
      <w:r>
        <w:rPr>
          <w:szCs w:val="28"/>
        </w:rPr>
        <w:t xml:space="preserve">Внести в регламент сопровождения инвестиционных проектов, реализуемых и (или) планируемых к реализации на территории Республики Карелия, утвержденный постановлением Правительства </w:t>
      </w:r>
      <w:r>
        <w:rPr>
          <w:bCs/>
          <w:szCs w:val="28"/>
          <w:lang w:eastAsia="en-US"/>
        </w:rPr>
        <w:t xml:space="preserve">Республики Карелия от 26 декабря 2014 года № 415-П «О регламенте </w:t>
      </w:r>
      <w:r>
        <w:rPr>
          <w:szCs w:val="28"/>
        </w:rPr>
        <w:t xml:space="preserve">сопровождения инвестиционных проектов, реализуемых и (или) планируемых к реализации на территории Республики Карелия» (Собрание законодательства Республики Карелия, 2014, № 12, ст. 2340; </w:t>
      </w:r>
      <w:proofErr w:type="gramStart"/>
      <w:r>
        <w:rPr>
          <w:szCs w:val="28"/>
        </w:rPr>
        <w:t xml:space="preserve">2015, № 7, ст. 1392; 2016, № 6, ст. 1261; 2017, </w:t>
      </w:r>
      <w:r w:rsidR="00631C31">
        <w:rPr>
          <w:szCs w:val="28"/>
        </w:rPr>
        <w:t xml:space="preserve">                            </w:t>
      </w:r>
      <w:r>
        <w:rPr>
          <w:szCs w:val="28"/>
        </w:rPr>
        <w:t>№ 1, ст. 43; № 6, ст. 1116), следующие изменения:</w:t>
      </w:r>
      <w:proofErr w:type="gramEnd"/>
    </w:p>
    <w:p w:rsidR="00987039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пункте 3 слова «от 30 июня 2007 года № 419» заменить словами </w:t>
      </w:r>
      <w:r w:rsidR="00631C3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«от 23 февраля 2018 года № 190»; </w:t>
      </w:r>
    </w:p>
    <w:p w:rsidR="00987039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6 изложить в следующей редакции:</w:t>
      </w:r>
    </w:p>
    <w:p w:rsidR="00987039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 исполнительной власти Республики Карелия, осуществляющий функции в сфере инвестиционной деятельности (далее </w:t>
      </w:r>
      <w:r w:rsidR="00631C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орган), ведет реестр инвестиционных проектов, реализуемых и (или) планируемых к реализации на территории Республики Карелия, организует рассмотрение инвестиционных проектов на заседаниях рабочей группы по содействию в привлечении инвестиций в экономику Республики Карелия, образованной распоряжением Главы Республики Карелия от 8 декабря 2004 года № 754-р (далее – Рабочая группа),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контролирует исполнение решений, готовит сводную информацию о ходе реализации сопровождаемых в рамках Регламента инвестиционных проектах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87039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7 слова «разработку, координацию и» исключить;</w:t>
      </w:r>
    </w:p>
    <w:p w:rsidR="00756061" w:rsidRPr="00756061" w:rsidRDefault="00756061" w:rsidP="00756061">
      <w:pPr>
        <w:pStyle w:val="ConsPlusNormal"/>
        <w:ind w:right="28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6061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987039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дополнить пунктом 7.1 следующего содержания:</w:t>
      </w:r>
    </w:p>
    <w:p w:rsidR="00987039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«7.1. Органы исполнительной власти Республики Карелия информируют Уполномоченный орган о необходимости поиска инвестора для реализации проектов, инициированных Республикой Карелия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87039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пункте 8:</w:t>
      </w:r>
    </w:p>
    <w:p w:rsidR="00987039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признать утратившим силу;</w:t>
      </w:r>
    </w:p>
    <w:p w:rsidR="00987039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:rsidR="00987039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«сопровождение инвестиционного проекта </w:t>
      </w:r>
      <w:r w:rsidR="00631C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комплекс мероприятий, осуществляемых Специализированной организацией, по оказанию консультационной, информационной и организационной поддержки инициаторам инвестиционных проектов и инвесторам</w:t>
      </w:r>
      <w:proofErr w:type="gramStart"/>
      <w:r w:rsidR="00631C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87039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 абзацы третий, четвертый пункта 9 изложить в следующей редакции:</w:t>
      </w:r>
    </w:p>
    <w:p w:rsidR="00987039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«своевременному рассмотрению вопросов, возникших в процессе реализации инвестиционного проекта;</w:t>
      </w:r>
    </w:p>
    <w:p w:rsidR="00987039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своевременному получению инициатором инвестиционного проекта или инвестором необходимых согласований и разрешений, требуемых для реализации инвестиционного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87039" w:rsidRDefault="00987039" w:rsidP="00756061">
      <w:pPr>
        <w:pStyle w:val="ConsPlusNormal"/>
        <w:spacing w:after="12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4"/>
      <w:bookmarkEnd w:id="0"/>
      <w:r>
        <w:rPr>
          <w:rFonts w:ascii="Times New Roman" w:hAnsi="Times New Roman" w:cs="Times New Roman"/>
          <w:sz w:val="28"/>
          <w:szCs w:val="28"/>
        </w:rPr>
        <w:t xml:space="preserve">7)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87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87039" w:rsidRDefault="00987039" w:rsidP="00756061">
      <w:pPr>
        <w:pStyle w:val="ConsPlusNormal"/>
        <w:spacing w:after="120"/>
        <w:ind w:right="28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31C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Сопровождение инвестиционных проектов</w:t>
      </w:r>
    </w:p>
    <w:p w:rsidR="00987039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Основанием для начала сопровождения инвестиционного проекта является заявка на его сопровождение, поступившая в адрес Специализированной организации, по форме согласно приложению 1 к Регламенту (далее – Заявка).</w:t>
      </w:r>
    </w:p>
    <w:p w:rsidR="00987039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подается инициатором инвестиционного проекта или инвестором на бумажном носителе по адресу: 185005, Республика Карелия, </w:t>
      </w:r>
      <w:r w:rsidR="0075606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Петрозаводск,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="00631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1931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в электронном виде путем заполнения формы Заявки, размещенной на Инвестиционном портале Республики Карелия (http://www.kareliainvest.ru), либо направления по электронной почте на 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info@kr-rk.ru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7039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Специализированная организация в течение двух рабочих дней со дня поступления Заявки регистрирует ее, информирует инициатора инвестиционного проекта или инвестор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получении, а также сообщает контактные данные сотрудника, ответственного за взаимодействие с ним</w:t>
      </w:r>
      <w:r w:rsidR="00631C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проверяет полноту заполнения Заявки. Заявка, заполненная не полностью, рассмотрению не подлежит и возвращается инициатору инвестиционного проекта или инвестору.</w:t>
      </w:r>
    </w:p>
    <w:p w:rsidR="00987039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случае положительного рассмотрения Заявки Специализированная организация в течение десяти рабочих дней со дня ее получения:</w:t>
      </w:r>
    </w:p>
    <w:p w:rsidR="00987039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инициатора инвестиционного проекта или инвестора о возможных формах государственной поддержки инвестиционной деятельности в Республике Карелия, а также об информационных ресурсах Специализированной организации в информационно-телекоммуникационной сети «Интернет»;</w:t>
      </w:r>
    </w:p>
    <w:p w:rsidR="00756061" w:rsidRDefault="00756061" w:rsidP="00756061">
      <w:pPr>
        <w:pStyle w:val="ConsPlusNormal"/>
        <w:ind w:right="28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987039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запрашивает у инициатора инвестиционного проекта или инвестора следующие документы: </w:t>
      </w:r>
    </w:p>
    <w:p w:rsidR="00987039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бизнес-план инвестиционного проекта;</w:t>
      </w:r>
    </w:p>
    <w:p w:rsidR="00987039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наличие собственных и (или) привлекаемых для реализации проекта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азмере заявленных инвестиций;</w:t>
      </w:r>
    </w:p>
    <w:p w:rsidR="00987039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необходимые требования для реализации инвестиционного проекта.</w:t>
      </w:r>
    </w:p>
    <w:p w:rsidR="00987039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 В случае необходимости подбора земельного участка для реализации инвестиционного проекта Специализированная организация осуществляет указанный подбор исходя из имеющейся базы земельных участков, размещенной на официальных сайтах в информационно-телекоммуникационной сети «Интернет».</w:t>
      </w:r>
    </w:p>
    <w:p w:rsidR="00987039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проверки подобранных земельных участков Специализированная организация направляет письменное обращение в орган исполнительной власти Республики Карелия, уполномоченный на управление и распоряжение земельными ресурсами Республики Карелия. </w:t>
      </w:r>
    </w:p>
    <w:p w:rsidR="00987039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исполнительной власти Республики Карелия, уполномоченный на управление и распоряжение земельными ресурсами Республики Карелия:</w:t>
      </w:r>
    </w:p>
    <w:p w:rsidR="00987039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трех рабочих дней с</w:t>
      </w:r>
      <w:r w:rsidR="00631C31">
        <w:rPr>
          <w:rFonts w:ascii="Times New Roman" w:hAnsi="Times New Roman" w:cs="Times New Roman"/>
          <w:sz w:val="28"/>
          <w:szCs w:val="28"/>
        </w:rPr>
        <w:t>о дня</w:t>
      </w:r>
      <w:r>
        <w:rPr>
          <w:rFonts w:ascii="Times New Roman" w:hAnsi="Times New Roman" w:cs="Times New Roman"/>
          <w:sz w:val="28"/>
          <w:szCs w:val="28"/>
        </w:rPr>
        <w:t xml:space="preserve"> получения обращения от Специализированной организации направляет соответствующий запрос в органы местного самоуправления муниципальных образований в Республике Карелия</w:t>
      </w:r>
      <w:r w:rsidR="00631C31">
        <w:rPr>
          <w:rFonts w:ascii="Times New Roman" w:hAnsi="Times New Roman" w:cs="Times New Roman"/>
          <w:sz w:val="28"/>
          <w:szCs w:val="28"/>
        </w:rPr>
        <w:t>;</w:t>
      </w:r>
    </w:p>
    <w:p w:rsidR="00987039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пятнадцати рабочих дней с</w:t>
      </w:r>
      <w:r w:rsidR="00631C31">
        <w:rPr>
          <w:rFonts w:ascii="Times New Roman" w:hAnsi="Times New Roman" w:cs="Times New Roman"/>
          <w:sz w:val="28"/>
          <w:szCs w:val="28"/>
        </w:rPr>
        <w:t>о дня</w:t>
      </w:r>
      <w:r>
        <w:rPr>
          <w:rFonts w:ascii="Times New Roman" w:hAnsi="Times New Roman" w:cs="Times New Roman"/>
          <w:sz w:val="28"/>
          <w:szCs w:val="28"/>
        </w:rPr>
        <w:t xml:space="preserve"> получения необходимой информации от органов местного самоуправления муниципальных образований в Республике Карелия представляет в Специализированную организацию информацию о возможности (невозможности) предоставления земельных участков для реализации инвестиционного проекта.</w:t>
      </w:r>
    </w:p>
    <w:p w:rsidR="00987039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местного самоуправления муниципального образования в Республике Карелия в течение пяти рабочих дней с</w:t>
      </w:r>
      <w:r w:rsidR="00631C31">
        <w:rPr>
          <w:rFonts w:ascii="Times New Roman" w:hAnsi="Times New Roman" w:cs="Times New Roman"/>
          <w:sz w:val="28"/>
          <w:szCs w:val="28"/>
        </w:rPr>
        <w:t xml:space="preserve">о дня </w:t>
      </w:r>
      <w:r>
        <w:rPr>
          <w:rFonts w:ascii="Times New Roman" w:hAnsi="Times New Roman" w:cs="Times New Roman"/>
          <w:sz w:val="28"/>
          <w:szCs w:val="28"/>
        </w:rPr>
        <w:t>получения запроса от органа исполнительной власти Республики Карелия, уполномоченного на управление и распоряжение земельными ресурсами Республики Карелия, представляет запрашиваемую информацию в адрес указанного органа.</w:t>
      </w:r>
    </w:p>
    <w:p w:rsidR="0070188E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Специализированная организация в течение пяти рабочих дней </w:t>
      </w:r>
      <w:r w:rsidR="00631C31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получения от органа исполнительной власти Республики Карелия, уполномоченного на управление и распоряжение земельными ресурсами Республики Карелия</w:t>
      </w:r>
      <w:r w:rsidR="00631C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информации о возможности предоставления земельных участков для реализации инвестиционного проекта либо в течение пяти рабочих дней со дня поступления от инициатора инвестиционного проекта или инвестора пакета документов, указанных в пункте 12 настоящего Регламента, в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подбор земельного участка для реализации инвестиционного проекта не требуется, совместно с инициатором инвестиционного проекта или инвестором формирует паспорт инвестиционного проекта в соответствии с приложением 2 к Регламенту и направляет </w:t>
      </w:r>
      <w:r w:rsidR="0070188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7018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018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="007018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="007018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7018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="007018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Карелия, </w:t>
      </w:r>
    </w:p>
    <w:p w:rsidR="0070188E" w:rsidRDefault="0070188E" w:rsidP="0070188E">
      <w:pPr>
        <w:pStyle w:val="ConsPlusNormal"/>
        <w:ind w:right="28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987039" w:rsidRDefault="00987039" w:rsidP="0070188E">
      <w:pPr>
        <w:pStyle w:val="ConsPlusNormal"/>
        <w:ind w:right="28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осуществляющий полномочия в соответствующей сфере (далее – Отраслевой орган), для подготовки заключения о целесообразности (нецелесообразности) реализации инвестиционного проекта (далее – заключение).</w:t>
      </w:r>
    </w:p>
    <w:p w:rsidR="00987039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Отраслевой орган</w:t>
      </w:r>
      <w:r w:rsidR="00631C31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готовит и направляет в адрес Специализированной организации мотивированное заключение с указанием обоснованных причин целесообразности (нецелесообразности) реализации инвестиционного проекта.</w:t>
      </w:r>
    </w:p>
    <w:p w:rsidR="00987039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Специализированная организация в течение двух рабочих дней со дня  получения заключения Отраслевого органа направляет его в Уполномоченный орган вместе с паспортом инвестиционного проекта.</w:t>
      </w:r>
    </w:p>
    <w:p w:rsidR="00987039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Уполномоченный орган в течение двадцати рабочих дней со дня получения документов, указанных в пункте 15 Регламента, инициирует проведение заседания Рабочей группы, на котором выносится решение о сопровождении (об отказе в сопровождении) инвестиционного проекта. О принятом решении инициатор инвестиционного проекта или инвестор уведомляется в письменной форме.</w:t>
      </w:r>
    </w:p>
    <w:p w:rsidR="00987039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  <w:t>Уполномоченный орган в течение пяти рабочих дней со дня принятия решения о сопровождении инвестиционного проекта с письменного согласия инициатора инвестиционного проекта или инвестора размещает на Инвестиционном портале Республики Карелия информацию об инвестиционном проекте (наименование, краткое описание, сроки реализации инвестиционного проекта, паспорт инвестиционного проекта).</w:t>
      </w:r>
    </w:p>
    <w:p w:rsidR="00987039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  <w:t>Специализированная организация в течение десяти рабочих дней со дня принятия решения о сопровождении инвестиционного проекта разрабатывает план мероприятий по реализации инвестиционного проекта (далее – План мероприятий), предусматривающий меры по подготовке исходно-разрешительной документации и поэтапную реализацию инвестиционного проекта в соответствии с законодательством.</w:t>
      </w:r>
    </w:p>
    <w:p w:rsidR="00987039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ab/>
        <w:t xml:space="preserve">Специализированная организация вправе привлекать к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сопровождения инвестиционных проектов специалистов органов государственной власти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Карелия и органов местного самоуправления муниципальных образований в Республике Карелия по вопросам, входящим в их компетенцию, а также сторонние организации. </w:t>
      </w:r>
    </w:p>
    <w:p w:rsidR="00987039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ab/>
        <w:t>Специализированн</w:t>
      </w:r>
      <w:r w:rsidR="00631C31">
        <w:rPr>
          <w:rFonts w:ascii="Times New Roman" w:hAnsi="Times New Roman" w:cs="Times New Roman"/>
          <w:sz w:val="28"/>
          <w:szCs w:val="28"/>
        </w:rPr>
        <w:t>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мониторинг хода реализации Плана мероприятий </w:t>
      </w:r>
      <w:r w:rsidR="00631C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оказ</w:t>
      </w:r>
      <w:r w:rsidR="00631C31">
        <w:rPr>
          <w:rFonts w:ascii="Times New Roman" w:hAnsi="Times New Roman" w:cs="Times New Roman"/>
          <w:sz w:val="28"/>
          <w:szCs w:val="28"/>
        </w:rPr>
        <w:t xml:space="preserve">ывает </w:t>
      </w:r>
      <w:r>
        <w:rPr>
          <w:rFonts w:ascii="Times New Roman" w:hAnsi="Times New Roman" w:cs="Times New Roman"/>
          <w:sz w:val="28"/>
          <w:szCs w:val="28"/>
        </w:rPr>
        <w:t>содействи</w:t>
      </w:r>
      <w:r w:rsidR="00631C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решении возникающих вопросов в рабочем режиме. </w:t>
      </w:r>
    </w:p>
    <w:p w:rsidR="00987039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При возникновении вопросов, которые не могут быть решены Специализированной организацией, на любой стадии реализации инвестиционного проекта Уполномоченный орган по представлению Специализированной организации организует проведение заседания Рабочей группы с участием инициатора инвестиционного проекта или инвестора. </w:t>
      </w:r>
    </w:p>
    <w:p w:rsidR="00BF03EE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Специализированная организация ежеквартально, не позднее 20-го числа месяца, следующего за отчетным кварталом, представляет в Уполномоченный</w:t>
      </w:r>
      <w:r w:rsidR="00BF03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="00BF03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BF0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F0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ходе </w:t>
      </w:r>
      <w:r w:rsidR="00BF03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F03E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3EE" w:rsidRDefault="00BF03EE" w:rsidP="00BF03EE">
      <w:pPr>
        <w:pStyle w:val="ConsPlusNormal"/>
        <w:ind w:right="28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987039" w:rsidRDefault="00987039" w:rsidP="00BF03EE">
      <w:pPr>
        <w:pStyle w:val="ConsPlusNormal"/>
        <w:ind w:right="28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проектов, находящихся на сопровождении</w:t>
      </w:r>
      <w:r w:rsidR="00631C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Регламенту. </w:t>
      </w:r>
    </w:p>
    <w:p w:rsidR="00987039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 случае непредставления инициатором инвестиционного проекта или инвестором информации о ходе реализации инвестиционного проекта по запросу Специализированной организации или представлени</w:t>
      </w:r>
      <w:r w:rsidR="00631C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недействительной информации,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из отчетов инициатора инвестиционного проекта или инвестора по истечению шести месяцев с момента организации сопровождения инвестиционного проекта следует, что проект не реализуется </w:t>
      </w:r>
      <w:r w:rsidR="00631C31">
        <w:rPr>
          <w:rFonts w:ascii="Times New Roman" w:hAnsi="Times New Roman" w:cs="Times New Roman"/>
          <w:sz w:val="28"/>
          <w:szCs w:val="28"/>
        </w:rPr>
        <w:t>по зависящим от инициатора проекта или инвестора</w:t>
      </w:r>
      <w:r>
        <w:rPr>
          <w:rFonts w:ascii="Times New Roman" w:hAnsi="Times New Roman" w:cs="Times New Roman"/>
          <w:sz w:val="28"/>
          <w:szCs w:val="28"/>
        </w:rPr>
        <w:t xml:space="preserve"> причинам, Уполномоченный орган по представлению Специализированной организации организует проведение заседания Рабочей группы, на котором выносится решение об исключении инвестиционного проекта из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сопровождаемых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87039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 Решение об исключении инвестиционного проекта из числа сопровождаемых принимается и в отношении завершенных проектов.</w:t>
      </w:r>
    </w:p>
    <w:p w:rsidR="00987039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23.2. Все документы, касающиеся инвестиционных проектов, исключенных из числа сопровождаемых</w:t>
      </w:r>
      <w:r w:rsidR="00B15F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передаются в Уполномоченный орган для хранения.</w:t>
      </w:r>
    </w:p>
    <w:p w:rsidR="00987039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осуществления  мониторинга эффективности деятельности по сопровождению инвестиционных проектов Уполномоченный орган один раз в год представляет на заседание Совета по улучшению инвестиционного климата и развитию конкуренции в Республике Карелия, образованного Указом Главы Республики Карелия от 17 июня 2013 года № 30</w:t>
      </w:r>
      <w:r w:rsidR="00B15F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сводную информацию о реализации сопровождаемых в рамках Регламента инвестиционных проектов.»;</w:t>
      </w:r>
      <w:proofErr w:type="gramEnd"/>
    </w:p>
    <w:p w:rsidR="00987039" w:rsidRDefault="00987039" w:rsidP="0098703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приложения 2, 3 изложить в следующей  редакции:</w:t>
      </w:r>
    </w:p>
    <w:p w:rsidR="00987039" w:rsidRPr="00B15F72" w:rsidRDefault="00987039" w:rsidP="00B15F72">
      <w:pPr>
        <w:pStyle w:val="ConsPlusNormal"/>
        <w:ind w:right="28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15F72">
        <w:rPr>
          <w:rFonts w:ascii="Times New Roman" w:hAnsi="Times New Roman" w:cs="Times New Roman"/>
          <w:sz w:val="24"/>
          <w:szCs w:val="24"/>
        </w:rPr>
        <w:t>«Приложение 2</w:t>
      </w:r>
      <w:r w:rsidR="00B15F72" w:rsidRPr="00B15F72">
        <w:rPr>
          <w:rFonts w:ascii="Times New Roman" w:hAnsi="Times New Roman" w:cs="Times New Roman"/>
          <w:sz w:val="24"/>
          <w:szCs w:val="24"/>
        </w:rPr>
        <w:t xml:space="preserve"> </w:t>
      </w:r>
      <w:r w:rsidRPr="00B15F72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987039" w:rsidRPr="00B15F72" w:rsidRDefault="00987039" w:rsidP="00987039">
      <w:pPr>
        <w:pStyle w:val="ConsPlusNormal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B15F72">
        <w:rPr>
          <w:rFonts w:ascii="Times New Roman" w:hAnsi="Times New Roman" w:cs="Times New Roman"/>
          <w:sz w:val="24"/>
          <w:szCs w:val="24"/>
        </w:rPr>
        <w:t xml:space="preserve">сопровождения </w:t>
      </w:r>
      <w:proofErr w:type="gramStart"/>
      <w:r w:rsidRPr="00B15F72">
        <w:rPr>
          <w:rFonts w:ascii="Times New Roman" w:hAnsi="Times New Roman" w:cs="Times New Roman"/>
          <w:sz w:val="24"/>
          <w:szCs w:val="24"/>
        </w:rPr>
        <w:t>инвестиционных</w:t>
      </w:r>
      <w:proofErr w:type="gramEnd"/>
    </w:p>
    <w:p w:rsidR="00987039" w:rsidRPr="00B15F72" w:rsidRDefault="00987039" w:rsidP="00987039">
      <w:pPr>
        <w:pStyle w:val="ConsPlusNormal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B15F72">
        <w:rPr>
          <w:rFonts w:ascii="Times New Roman" w:hAnsi="Times New Roman" w:cs="Times New Roman"/>
          <w:sz w:val="24"/>
          <w:szCs w:val="24"/>
        </w:rPr>
        <w:t>проектов, реализуемых и (или)</w:t>
      </w:r>
    </w:p>
    <w:p w:rsidR="00987039" w:rsidRPr="00B15F72" w:rsidRDefault="00987039" w:rsidP="00987039">
      <w:pPr>
        <w:pStyle w:val="ConsPlusNormal"/>
        <w:ind w:right="28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15F72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B15F72">
        <w:rPr>
          <w:rFonts w:ascii="Times New Roman" w:hAnsi="Times New Roman" w:cs="Times New Roman"/>
          <w:sz w:val="24"/>
          <w:szCs w:val="24"/>
        </w:rPr>
        <w:t xml:space="preserve"> к реализации на</w:t>
      </w:r>
    </w:p>
    <w:p w:rsidR="00987039" w:rsidRPr="00B15F72" w:rsidRDefault="00987039" w:rsidP="00987039">
      <w:pPr>
        <w:pStyle w:val="ConsPlusNormal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B15F72">
        <w:rPr>
          <w:rFonts w:ascii="Times New Roman" w:hAnsi="Times New Roman" w:cs="Times New Roman"/>
          <w:sz w:val="24"/>
          <w:szCs w:val="24"/>
        </w:rPr>
        <w:t>территории Республики Карелия</w:t>
      </w:r>
    </w:p>
    <w:p w:rsidR="00987039" w:rsidRPr="00B15F72" w:rsidRDefault="00987039" w:rsidP="00987039">
      <w:pPr>
        <w:pStyle w:val="ConsPlusNormal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987039" w:rsidRPr="00B15F72" w:rsidRDefault="00987039" w:rsidP="00987039">
      <w:pPr>
        <w:pStyle w:val="ConsPlusTitle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75"/>
      <w:bookmarkEnd w:id="1"/>
      <w:r w:rsidRPr="00B15F72">
        <w:rPr>
          <w:rFonts w:ascii="Times New Roman" w:hAnsi="Times New Roman" w:cs="Times New Roman"/>
          <w:sz w:val="24"/>
          <w:szCs w:val="24"/>
        </w:rPr>
        <w:t>Паспорт</w:t>
      </w:r>
    </w:p>
    <w:p w:rsidR="00987039" w:rsidRPr="00B15F72" w:rsidRDefault="00987039" w:rsidP="00987039">
      <w:pPr>
        <w:pStyle w:val="ConsPlusTitle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B15F72">
        <w:rPr>
          <w:rFonts w:ascii="Times New Roman" w:hAnsi="Times New Roman" w:cs="Times New Roman"/>
          <w:sz w:val="24"/>
          <w:szCs w:val="24"/>
        </w:rPr>
        <w:t>инвестиционного проекта</w:t>
      </w:r>
    </w:p>
    <w:p w:rsidR="00987039" w:rsidRPr="00B15F72" w:rsidRDefault="00987039" w:rsidP="00987039">
      <w:pPr>
        <w:pStyle w:val="ConsPlusNormal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9"/>
        <w:gridCol w:w="3261"/>
      </w:tblGrid>
      <w:tr w:rsidR="00987039" w:rsidRPr="00B15F72" w:rsidTr="00DB2684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39" w:rsidRPr="00B15F72" w:rsidRDefault="00987039" w:rsidP="00987039">
            <w:pPr>
              <w:pStyle w:val="ConsPlusNormal"/>
              <w:ind w:right="282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</w:t>
            </w:r>
          </w:p>
        </w:tc>
      </w:tr>
      <w:tr w:rsidR="00987039" w:rsidRPr="00B15F72" w:rsidTr="00DB2684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39" w:rsidRPr="00B15F72" w:rsidRDefault="00987039" w:rsidP="00B15F72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9" w:rsidRPr="00B15F72" w:rsidRDefault="00987039" w:rsidP="00987039">
            <w:pPr>
              <w:pStyle w:val="ConsPlusNormal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39" w:rsidRPr="00B15F72" w:rsidTr="00DB2684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39" w:rsidRPr="00B15F72" w:rsidRDefault="00987039" w:rsidP="00B15F72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инициатора инвестиционного проекта или инвестора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9" w:rsidRPr="00B15F72" w:rsidRDefault="00987039" w:rsidP="00987039">
            <w:pPr>
              <w:pStyle w:val="ConsPlusNormal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39" w:rsidRPr="00B15F72" w:rsidTr="00DB2684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39" w:rsidRPr="00B15F72" w:rsidRDefault="00987039" w:rsidP="00B15F72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Почтовый адрес, телефон, факс, электронная почта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9" w:rsidRPr="00B15F72" w:rsidRDefault="00987039" w:rsidP="00987039">
            <w:pPr>
              <w:pStyle w:val="ConsPlusNormal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39" w:rsidRPr="00B15F72" w:rsidTr="00DB2684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39" w:rsidRPr="00B15F72" w:rsidRDefault="00987039" w:rsidP="00B15F72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Ф.И.О. руководителя инициатора инвестиционного проекта или инвестора (с указанием должности)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9" w:rsidRPr="00B15F72" w:rsidRDefault="00987039" w:rsidP="00987039">
            <w:pPr>
              <w:pStyle w:val="ConsPlusNormal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3EE" w:rsidRDefault="00BF03EE" w:rsidP="00BF03EE">
      <w:pPr>
        <w:pStyle w:val="ConsPlusNormal"/>
        <w:ind w:right="28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F03EE" w:rsidRDefault="00BF03EE" w:rsidP="00BF03EE">
      <w:pPr>
        <w:pStyle w:val="ConsPlusNormal"/>
        <w:ind w:right="282" w:firstLine="0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tbl>
      <w:tblPr>
        <w:tblW w:w="93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9"/>
        <w:gridCol w:w="144"/>
        <w:gridCol w:w="3117"/>
      </w:tblGrid>
      <w:tr w:rsidR="00987039" w:rsidRPr="00B15F72" w:rsidTr="00DB2684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39" w:rsidRPr="00B15F72" w:rsidRDefault="00987039" w:rsidP="00B15F72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 (электронная почта, телефон)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9" w:rsidRPr="00B15F72" w:rsidRDefault="00987039" w:rsidP="00987039">
            <w:pPr>
              <w:pStyle w:val="ConsPlusNormal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39" w:rsidRPr="00B15F72" w:rsidTr="00DB2684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39" w:rsidRPr="00B15F72" w:rsidRDefault="00987039" w:rsidP="00987039">
            <w:pPr>
              <w:pStyle w:val="ConsPlusNormal"/>
              <w:ind w:right="282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Информация об инвестиционном проекте</w:t>
            </w:r>
          </w:p>
        </w:tc>
      </w:tr>
      <w:tr w:rsidR="00987039" w:rsidRPr="00B15F72" w:rsidTr="00DB2684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39" w:rsidRPr="00B15F72" w:rsidRDefault="00987039" w:rsidP="00B15F72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 с указанием кода ОКВЭД и его расшифровки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9" w:rsidRPr="00B15F72" w:rsidRDefault="00987039" w:rsidP="00987039">
            <w:pPr>
              <w:pStyle w:val="ConsPlusNormal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39" w:rsidRPr="00B15F72" w:rsidTr="00DB2684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39" w:rsidRPr="00B15F72" w:rsidRDefault="00987039" w:rsidP="00B15F72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Цель инвестиционного проекта (краткое описание)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9" w:rsidRPr="00B15F72" w:rsidRDefault="00987039" w:rsidP="00987039">
            <w:pPr>
              <w:pStyle w:val="ConsPlusNormal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39" w:rsidRPr="00B15F72" w:rsidTr="00DB2684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39" w:rsidRPr="00B15F72" w:rsidRDefault="00987039" w:rsidP="00B15F72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Срок реализации инвестиционного проекта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9" w:rsidRPr="00B15F72" w:rsidRDefault="00987039" w:rsidP="00987039">
            <w:pPr>
              <w:pStyle w:val="ConsPlusNormal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39" w:rsidRPr="00B15F72" w:rsidTr="00DB2684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39" w:rsidRPr="00B15F72" w:rsidRDefault="00987039" w:rsidP="00B15F72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gramStart"/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), объем выпускаемой продукции (услуг) (проектная мощность)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9" w:rsidRPr="00B15F72" w:rsidRDefault="00987039" w:rsidP="00987039">
            <w:pPr>
              <w:pStyle w:val="ConsPlusNormal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39" w:rsidRPr="00B15F72" w:rsidTr="00DB2684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39" w:rsidRPr="00B15F72" w:rsidRDefault="00987039" w:rsidP="00B15F72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Описание инвестиционного проекта с указанием видов и сроков проведения работ по этапам (проектирование, строительство, ввод объекта в эксплуатацию)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9" w:rsidRPr="00B15F72" w:rsidRDefault="00987039" w:rsidP="00987039">
            <w:pPr>
              <w:pStyle w:val="ConsPlusNormal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39" w:rsidRPr="00B15F72" w:rsidTr="00DB2684">
        <w:tc>
          <w:tcPr>
            <w:tcW w:w="6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39" w:rsidRPr="00B15F72" w:rsidRDefault="00987039" w:rsidP="00B15F72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Уровень проработки инвестиционного проекта, в том числе с указанием года подготовки документа (отметить наличие)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7039" w:rsidRPr="00B15F72" w:rsidRDefault="00987039" w:rsidP="00987039">
            <w:pPr>
              <w:pStyle w:val="ConsPlusNormal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46355</wp:posOffset>
                  </wp:positionV>
                  <wp:extent cx="137160" cy="114300"/>
                  <wp:effectExtent l="19050" t="0" r="0" b="0"/>
                  <wp:wrapNone/>
                  <wp:docPr id="4" name="Рисунок 8" descr="base_24456_52096_3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ase_24456_52096_3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7039" w:rsidRPr="00B15F72" w:rsidRDefault="00987039" w:rsidP="00987039">
            <w:pPr>
              <w:pStyle w:val="ConsPlusNormal"/>
              <w:ind w:left="219" w:right="2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бизнес-план</w:t>
            </w:r>
          </w:p>
        </w:tc>
      </w:tr>
      <w:tr w:rsidR="00987039" w:rsidRPr="00B15F72" w:rsidTr="00DB2684">
        <w:tc>
          <w:tcPr>
            <w:tcW w:w="6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39" w:rsidRPr="00B15F72" w:rsidRDefault="00987039" w:rsidP="00987039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7039" w:rsidRPr="00B15F72" w:rsidRDefault="00987039" w:rsidP="00987039">
            <w:pPr>
              <w:pStyle w:val="ConsPlusNormal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24130</wp:posOffset>
                  </wp:positionV>
                  <wp:extent cx="137160" cy="114300"/>
                  <wp:effectExtent l="19050" t="0" r="0" b="0"/>
                  <wp:wrapNone/>
                  <wp:docPr id="5" name="Рисунок 10" descr="base_24456_52096_3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base_24456_52096_3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7039" w:rsidRPr="00B15F72" w:rsidRDefault="00987039" w:rsidP="00987039">
            <w:pPr>
              <w:pStyle w:val="ConsPlusNormal"/>
              <w:ind w:left="219" w:right="2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финансовая модель</w:t>
            </w:r>
          </w:p>
        </w:tc>
      </w:tr>
      <w:tr w:rsidR="00987039" w:rsidRPr="00B15F72" w:rsidTr="00DB2684">
        <w:tc>
          <w:tcPr>
            <w:tcW w:w="6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39" w:rsidRPr="00B15F72" w:rsidRDefault="00987039" w:rsidP="00987039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7039" w:rsidRPr="00B15F72" w:rsidRDefault="00987039" w:rsidP="00987039">
            <w:pPr>
              <w:pStyle w:val="ConsPlusNormal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-222885</wp:posOffset>
                  </wp:positionV>
                  <wp:extent cx="140335" cy="116840"/>
                  <wp:effectExtent l="19050" t="0" r="0" b="0"/>
                  <wp:wrapNone/>
                  <wp:docPr id="6" name="Рисунок 11" descr="base_24456_52096_3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base_24456_52096_3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16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7039" w:rsidRPr="00B15F72" w:rsidRDefault="00987039" w:rsidP="00B15F72">
            <w:pPr>
              <w:pStyle w:val="ConsPlusNormal"/>
              <w:ind w:left="219" w:right="2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проектно-сметная документация (далее </w:t>
            </w:r>
            <w:r w:rsidR="00B15F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 xml:space="preserve"> ПСД)</w:t>
            </w:r>
          </w:p>
        </w:tc>
      </w:tr>
      <w:tr w:rsidR="00987039" w:rsidRPr="00B15F72" w:rsidTr="00DB2684">
        <w:tc>
          <w:tcPr>
            <w:tcW w:w="6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39" w:rsidRPr="00B15F72" w:rsidRDefault="00987039" w:rsidP="00987039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7039" w:rsidRPr="00B15F72" w:rsidRDefault="00987039" w:rsidP="00987039">
            <w:pPr>
              <w:pStyle w:val="ConsPlusNormal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-222885</wp:posOffset>
                  </wp:positionV>
                  <wp:extent cx="140335" cy="116840"/>
                  <wp:effectExtent l="19050" t="0" r="0" b="0"/>
                  <wp:wrapNone/>
                  <wp:docPr id="7" name="Рисунок 12" descr="base_24456_52096_3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base_24456_52096_3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16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7039" w:rsidRPr="00B15F72" w:rsidRDefault="00987039" w:rsidP="00987039">
            <w:pPr>
              <w:pStyle w:val="ConsPlusNormal"/>
              <w:ind w:left="219" w:right="2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proofErr w:type="spellStart"/>
            <w:proofErr w:type="gramStart"/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405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spellEnd"/>
            <w:proofErr w:type="gramEnd"/>
            <w:r w:rsidRPr="00B15F7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ПСД</w:t>
            </w:r>
          </w:p>
        </w:tc>
      </w:tr>
      <w:tr w:rsidR="00987039" w:rsidRPr="00B15F72" w:rsidTr="00DB2684">
        <w:tc>
          <w:tcPr>
            <w:tcW w:w="6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39" w:rsidRPr="00B15F72" w:rsidRDefault="00987039" w:rsidP="00987039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7039" w:rsidRPr="00B15F72" w:rsidRDefault="00987039" w:rsidP="00987039">
            <w:pPr>
              <w:pStyle w:val="ConsPlusNormal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-214630</wp:posOffset>
                  </wp:positionV>
                  <wp:extent cx="140335" cy="116840"/>
                  <wp:effectExtent l="19050" t="0" r="0" b="0"/>
                  <wp:wrapNone/>
                  <wp:docPr id="8" name="Рисунок 13" descr="base_24456_52096_3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base_24456_52096_3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16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7039" w:rsidRPr="00B15F72" w:rsidRDefault="00987039" w:rsidP="00987039">
            <w:pPr>
              <w:pStyle w:val="ConsPlusNormal"/>
              <w:ind w:left="219" w:right="2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с </w:t>
            </w:r>
            <w:proofErr w:type="spellStart"/>
            <w:proofErr w:type="gramStart"/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поставщи</w:t>
            </w:r>
            <w:r w:rsidR="00405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spellEnd"/>
            <w:proofErr w:type="gramEnd"/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/покупателями</w:t>
            </w:r>
          </w:p>
        </w:tc>
      </w:tr>
      <w:tr w:rsidR="00987039" w:rsidRPr="00B15F72" w:rsidTr="00DB2684">
        <w:tc>
          <w:tcPr>
            <w:tcW w:w="6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39" w:rsidRPr="00B15F72" w:rsidRDefault="00987039" w:rsidP="00987039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7039" w:rsidRPr="00B15F72" w:rsidRDefault="00987039" w:rsidP="00987039">
            <w:pPr>
              <w:pStyle w:val="ConsPlusNormal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-464185</wp:posOffset>
                  </wp:positionV>
                  <wp:extent cx="140335" cy="116840"/>
                  <wp:effectExtent l="19050" t="0" r="0" b="0"/>
                  <wp:wrapNone/>
                  <wp:docPr id="9" name="Рисунок 14" descr="base_24456_52096_3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base_24456_52096_3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16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7039" w:rsidRPr="00B15F72" w:rsidRDefault="00987039" w:rsidP="00987039">
            <w:pPr>
              <w:pStyle w:val="ConsPlusNormal"/>
              <w:ind w:left="219" w:right="2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необходимых согласований, </w:t>
            </w:r>
            <w:proofErr w:type="spellStart"/>
            <w:proofErr w:type="gramStart"/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разреше</w:t>
            </w:r>
            <w:r w:rsidR="00405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B15F72">
              <w:rPr>
                <w:rFonts w:ascii="Times New Roman" w:hAnsi="Times New Roman" w:cs="Times New Roman"/>
                <w:sz w:val="24"/>
                <w:szCs w:val="24"/>
              </w:rPr>
              <w:t xml:space="preserve"> (технические условия, разрешения, экспертизы)</w:t>
            </w:r>
          </w:p>
        </w:tc>
      </w:tr>
      <w:tr w:rsidR="00987039" w:rsidRPr="00B15F72" w:rsidTr="00DB2684">
        <w:tc>
          <w:tcPr>
            <w:tcW w:w="6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39" w:rsidRPr="00B15F72" w:rsidRDefault="00987039" w:rsidP="00987039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039" w:rsidRPr="00B15F72" w:rsidRDefault="00987039" w:rsidP="00987039">
            <w:pPr>
              <w:pStyle w:val="ConsPlusNormal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12700</wp:posOffset>
                  </wp:positionV>
                  <wp:extent cx="137160" cy="114300"/>
                  <wp:effectExtent l="19050" t="0" r="0" b="0"/>
                  <wp:wrapNone/>
                  <wp:docPr id="10" name="Рисунок 15" descr="base_24456_52096_3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base_24456_52096_3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39" w:rsidRPr="00B15F72" w:rsidRDefault="00987039" w:rsidP="00987039">
            <w:pPr>
              <w:pStyle w:val="ConsPlusNormal"/>
              <w:ind w:left="219" w:right="2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иное ____________</w:t>
            </w:r>
          </w:p>
        </w:tc>
      </w:tr>
      <w:tr w:rsidR="00987039" w:rsidRPr="00B15F72" w:rsidTr="00DB2684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39" w:rsidRPr="00B15F72" w:rsidRDefault="00987039" w:rsidP="004058BB">
            <w:pPr>
              <w:pStyle w:val="ConsPlusNormal"/>
              <w:ind w:right="282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рабочих мест, </w:t>
            </w:r>
          </w:p>
          <w:p w:rsidR="00987039" w:rsidRPr="00B15F72" w:rsidRDefault="00987039" w:rsidP="004058BB">
            <w:pPr>
              <w:pStyle w:val="ConsPlusNormal"/>
              <w:ind w:right="282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87039" w:rsidRPr="00B15F72" w:rsidRDefault="00987039" w:rsidP="004058BB">
            <w:pPr>
              <w:pStyle w:val="ConsPlusNormal"/>
              <w:ind w:right="282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- новых</w:t>
            </w:r>
            <w:r w:rsidR="004058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7039" w:rsidRPr="00B15F72" w:rsidRDefault="00987039" w:rsidP="004058BB">
            <w:pPr>
              <w:pStyle w:val="ConsPlusNormal"/>
              <w:ind w:right="282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- модернизируемых (в результате запуска нового оборудования, внедрения новых технологий и т.п.)</w:t>
            </w:r>
            <w:r w:rsidR="004058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7039" w:rsidRPr="00B15F72" w:rsidRDefault="00987039" w:rsidP="004058BB">
            <w:pPr>
              <w:pStyle w:val="ConsPlusNormal"/>
              <w:ind w:right="282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 xml:space="preserve">- рабочих мест в </w:t>
            </w:r>
            <w:proofErr w:type="spellStart"/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профессионально-квалифика</w:t>
            </w:r>
            <w:r w:rsidR="00405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ционном</w:t>
            </w:r>
            <w:proofErr w:type="spellEnd"/>
            <w:r w:rsidRPr="00B15F72">
              <w:rPr>
                <w:rFonts w:ascii="Times New Roman" w:hAnsi="Times New Roman" w:cs="Times New Roman"/>
                <w:sz w:val="24"/>
                <w:szCs w:val="24"/>
              </w:rPr>
              <w:t xml:space="preserve"> разрезе</w:t>
            </w:r>
            <w:r w:rsidR="004058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7039" w:rsidRPr="00B15F72" w:rsidRDefault="00987039" w:rsidP="004058BB">
            <w:pPr>
              <w:pStyle w:val="ConsPlusNormal"/>
              <w:ind w:right="282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- рабочих мест для трудоустройства инвалидов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9" w:rsidRPr="00B15F72" w:rsidRDefault="00987039" w:rsidP="00987039">
            <w:pPr>
              <w:pStyle w:val="ConsPlusNormal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39" w:rsidRPr="00B15F72" w:rsidTr="00DB2684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39" w:rsidRPr="00B15F72" w:rsidRDefault="00987039" w:rsidP="004058BB">
            <w:pPr>
              <w:pStyle w:val="ConsPlusNormal"/>
              <w:ind w:right="282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необходимости организации </w:t>
            </w:r>
            <w:proofErr w:type="spellStart"/>
            <w:proofErr w:type="gramStart"/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405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сионального</w:t>
            </w:r>
            <w:proofErr w:type="spellEnd"/>
            <w:proofErr w:type="gramEnd"/>
            <w:r w:rsidRPr="00B15F72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(переподготовки, повышения квалификации) кадров для реализации проекта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9" w:rsidRPr="00B15F72" w:rsidRDefault="00987039" w:rsidP="00987039">
            <w:pPr>
              <w:pStyle w:val="ConsPlusNormal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3EE" w:rsidRDefault="00BF03EE" w:rsidP="00BF03EE">
      <w:pPr>
        <w:pStyle w:val="ConsPlusNormal"/>
        <w:ind w:right="28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F03EE" w:rsidRDefault="00BF03EE" w:rsidP="00BF03EE">
      <w:pPr>
        <w:pStyle w:val="ConsPlusNormal"/>
        <w:ind w:right="282" w:firstLine="0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tbl>
      <w:tblPr>
        <w:tblW w:w="93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9"/>
        <w:gridCol w:w="3261"/>
      </w:tblGrid>
      <w:tr w:rsidR="00987039" w:rsidRPr="00B15F72" w:rsidTr="00DB2684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39" w:rsidRPr="00B15F72" w:rsidRDefault="00987039" w:rsidP="004058BB">
            <w:pPr>
              <w:pStyle w:val="ConsPlusNormal"/>
              <w:ind w:right="282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Предполагаемый класс опасности объекта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9" w:rsidRPr="00B15F72" w:rsidRDefault="00987039" w:rsidP="00987039">
            <w:pPr>
              <w:pStyle w:val="ConsPlusNormal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39" w:rsidRPr="00B15F72" w:rsidTr="00DB2684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39" w:rsidRPr="00B15F72" w:rsidRDefault="00987039" w:rsidP="004058BB">
            <w:pPr>
              <w:pStyle w:val="ConsPlusNormal"/>
              <w:ind w:right="282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Требования к санитарно-защитной зоне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9" w:rsidRPr="00B15F72" w:rsidRDefault="00987039" w:rsidP="00987039">
            <w:pPr>
              <w:pStyle w:val="ConsPlusNormal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39" w:rsidRPr="00B15F72" w:rsidTr="00DB2684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39" w:rsidRPr="00B15F72" w:rsidRDefault="00987039" w:rsidP="004058BB">
            <w:pPr>
              <w:pStyle w:val="ConsPlusNormal"/>
              <w:ind w:right="282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Наличие земельного участка, в том числе с указанием месторасположения (кадастровый номер), площади, вида разрешенного использования, основания возникновения прав на земельный участок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9" w:rsidRPr="00B15F72" w:rsidRDefault="00987039" w:rsidP="00987039">
            <w:pPr>
              <w:pStyle w:val="ConsPlusNormal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39" w:rsidRPr="00B15F72" w:rsidTr="00DB2684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39" w:rsidRPr="00B15F72" w:rsidRDefault="00987039" w:rsidP="004058BB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Характеристики требуемого земельного участка, в том числе с указанием месторасположения, площади, вида разрешенного использования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9" w:rsidRPr="00B15F72" w:rsidRDefault="00987039" w:rsidP="00987039">
            <w:pPr>
              <w:pStyle w:val="ConsPlusNormal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39" w:rsidRPr="00B15F72" w:rsidTr="00DB2684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39" w:rsidRPr="00B15F72" w:rsidRDefault="00987039" w:rsidP="00987039">
            <w:pPr>
              <w:pStyle w:val="ConsPlusNormal"/>
              <w:ind w:right="282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Финансовые показатели инвестиционного проекта</w:t>
            </w:r>
          </w:p>
        </w:tc>
      </w:tr>
      <w:tr w:rsidR="00987039" w:rsidRPr="00B15F72" w:rsidTr="00DB2684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39" w:rsidRPr="00B15F72" w:rsidRDefault="00987039" w:rsidP="009C62EF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Стоимость инвестиционного проекта (млн. руб.), в том числе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9" w:rsidRPr="00B15F72" w:rsidRDefault="00987039" w:rsidP="00987039">
            <w:pPr>
              <w:pStyle w:val="ConsPlusNormal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39" w:rsidRPr="00B15F72" w:rsidTr="00DB2684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39" w:rsidRPr="00B15F72" w:rsidRDefault="00987039" w:rsidP="009C62EF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ранее осуществленные затраты, из них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9" w:rsidRPr="00B15F72" w:rsidRDefault="00987039" w:rsidP="00987039">
            <w:pPr>
              <w:pStyle w:val="ConsPlusNormal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39" w:rsidRPr="00B15F72" w:rsidTr="00DB2684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39" w:rsidRPr="00B15F72" w:rsidRDefault="00987039" w:rsidP="009C62EF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9" w:rsidRPr="00B15F72" w:rsidRDefault="00987039" w:rsidP="00987039">
            <w:pPr>
              <w:pStyle w:val="ConsPlusNormal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39" w:rsidRPr="00B15F72" w:rsidTr="00DB2684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39" w:rsidRPr="00B15F72" w:rsidRDefault="00987039" w:rsidP="009C62EF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привлеченные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9" w:rsidRPr="00B15F72" w:rsidRDefault="00987039" w:rsidP="00987039">
            <w:pPr>
              <w:pStyle w:val="ConsPlusNormal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39" w:rsidRPr="00B15F72" w:rsidTr="00DB2684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39" w:rsidRPr="00B15F72" w:rsidRDefault="00987039" w:rsidP="009C62EF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планируемые инвестиции, из них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9" w:rsidRPr="00B15F72" w:rsidRDefault="00987039" w:rsidP="00987039">
            <w:pPr>
              <w:pStyle w:val="ConsPlusNormal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39" w:rsidRPr="00B15F72" w:rsidTr="00DB2684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39" w:rsidRPr="00B15F72" w:rsidRDefault="00987039" w:rsidP="009C62EF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9" w:rsidRPr="00B15F72" w:rsidRDefault="00987039" w:rsidP="00987039">
            <w:pPr>
              <w:pStyle w:val="ConsPlusNormal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39" w:rsidRPr="00B15F72" w:rsidTr="00DB2684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39" w:rsidRPr="00B15F72" w:rsidRDefault="00987039" w:rsidP="009C62EF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привлеченные с указанием вида: кредиты банков, средства бюджета Российской Федерации и Республики Карелия, иностранные инвестиции, внебюджетные средства из российских источников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9" w:rsidRPr="00B15F72" w:rsidRDefault="00987039" w:rsidP="00987039">
            <w:pPr>
              <w:pStyle w:val="ConsPlusNormal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39" w:rsidRPr="00B15F72" w:rsidTr="00DB2684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39" w:rsidRPr="00B15F72" w:rsidRDefault="00987039" w:rsidP="009C62EF">
            <w:pPr>
              <w:pStyle w:val="ConsPlusNormal"/>
              <w:ind w:right="2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Срок окупаемости инвестиционного проекта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9" w:rsidRPr="00B15F72" w:rsidRDefault="00987039" w:rsidP="00987039">
            <w:pPr>
              <w:pStyle w:val="ConsPlusNormal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39" w:rsidRPr="00B15F72" w:rsidTr="00DB2684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39" w:rsidRPr="00B15F72" w:rsidRDefault="00987039" w:rsidP="00987039">
            <w:pPr>
              <w:pStyle w:val="ConsPlusNormal"/>
              <w:ind w:right="282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об инвестиционном проекте</w:t>
            </w:r>
          </w:p>
        </w:tc>
      </w:tr>
      <w:tr w:rsidR="00987039" w:rsidRPr="00B15F72" w:rsidTr="00DB2684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39" w:rsidRPr="00B15F72" w:rsidRDefault="00987039" w:rsidP="009C62EF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Планируемые виды поддержки, в том числе с указанием видов государственной поддержки, в соответствии с законодательством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9" w:rsidRPr="00B15F72" w:rsidRDefault="00987039" w:rsidP="00987039">
            <w:pPr>
              <w:pStyle w:val="ConsPlusNormal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39" w:rsidRPr="00B15F72" w:rsidTr="00DB2684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39" w:rsidRPr="00B15F72" w:rsidRDefault="00987039" w:rsidP="009C62EF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Проблемы при реализации инвестиционного проекта (ресурсы, инфраструктура и др.)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9" w:rsidRPr="00B15F72" w:rsidRDefault="00987039" w:rsidP="00987039">
            <w:pPr>
              <w:pStyle w:val="ConsPlusNormal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039" w:rsidRPr="00B15F72" w:rsidRDefault="00987039" w:rsidP="00987039">
      <w:pPr>
        <w:pStyle w:val="ConsPlusNormal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987039" w:rsidRPr="00B15F72" w:rsidRDefault="00987039" w:rsidP="00987039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B15F72">
        <w:rPr>
          <w:rFonts w:ascii="Times New Roman" w:hAnsi="Times New Roman" w:cs="Times New Roman"/>
          <w:sz w:val="24"/>
          <w:szCs w:val="24"/>
        </w:rPr>
        <w:t>Составитель  паспорта инвестиционного проекта удостоверяет правильность информации на дату   его  составления и не возражает против  ее распространения.</w:t>
      </w:r>
    </w:p>
    <w:p w:rsidR="001B4733" w:rsidRPr="00B15F72" w:rsidRDefault="001B4733" w:rsidP="00987039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987039" w:rsidRPr="00B15F72" w:rsidRDefault="00987039" w:rsidP="00987039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B15F72">
        <w:rPr>
          <w:rFonts w:ascii="Times New Roman" w:hAnsi="Times New Roman" w:cs="Times New Roman"/>
          <w:sz w:val="24"/>
          <w:szCs w:val="24"/>
        </w:rPr>
        <w:t>Руководитель _________________            _____________________________</w:t>
      </w:r>
    </w:p>
    <w:p w:rsidR="00987039" w:rsidRPr="00B15F72" w:rsidRDefault="00987039" w:rsidP="00987039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B15F72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                (инициалы, фамилия)</w:t>
      </w:r>
    </w:p>
    <w:p w:rsidR="00987039" w:rsidRPr="00B15F72" w:rsidRDefault="00987039" w:rsidP="00987039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B15F72">
        <w:rPr>
          <w:rFonts w:ascii="Times New Roman" w:hAnsi="Times New Roman" w:cs="Times New Roman"/>
          <w:sz w:val="24"/>
          <w:szCs w:val="24"/>
        </w:rPr>
        <w:t xml:space="preserve">             М.П.</w:t>
      </w:r>
    </w:p>
    <w:p w:rsidR="00987039" w:rsidRPr="00B15F72" w:rsidRDefault="00987039" w:rsidP="00987039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B15F7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B4733"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B15F72">
        <w:rPr>
          <w:rFonts w:ascii="Times New Roman" w:hAnsi="Times New Roman" w:cs="Times New Roman"/>
          <w:sz w:val="24"/>
          <w:szCs w:val="24"/>
        </w:rPr>
        <w:t>___</w:t>
      </w:r>
      <w:r w:rsidR="001B4733">
        <w:rPr>
          <w:rFonts w:ascii="Times New Roman" w:hAnsi="Times New Roman" w:cs="Times New Roman"/>
          <w:sz w:val="24"/>
          <w:szCs w:val="24"/>
        </w:rPr>
        <w:t>»</w:t>
      </w:r>
      <w:r w:rsidRPr="00B15F72">
        <w:rPr>
          <w:rFonts w:ascii="Times New Roman" w:hAnsi="Times New Roman" w:cs="Times New Roman"/>
          <w:sz w:val="24"/>
          <w:szCs w:val="24"/>
        </w:rPr>
        <w:t xml:space="preserve"> ____________ 20___ г. </w:t>
      </w:r>
    </w:p>
    <w:p w:rsidR="00987039" w:rsidRDefault="00987039" w:rsidP="00987039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1B4733" w:rsidRDefault="001B4733" w:rsidP="00987039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1B4733" w:rsidRPr="00B15F72" w:rsidRDefault="001B4733" w:rsidP="00987039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BF03EE" w:rsidRDefault="00BF03EE" w:rsidP="00BF03EE">
      <w:pPr>
        <w:pStyle w:val="ConsPlusNormal"/>
        <w:ind w:right="282" w:firstLine="0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BF03EE" w:rsidRDefault="00BF03EE" w:rsidP="001B4733">
      <w:pPr>
        <w:pStyle w:val="ConsPlusNormal"/>
        <w:ind w:right="28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039" w:rsidRPr="00B15F72" w:rsidRDefault="00987039" w:rsidP="001B4733">
      <w:pPr>
        <w:pStyle w:val="ConsPlusNormal"/>
        <w:ind w:right="28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15F72">
        <w:rPr>
          <w:rFonts w:ascii="Times New Roman" w:hAnsi="Times New Roman" w:cs="Times New Roman"/>
          <w:sz w:val="24"/>
          <w:szCs w:val="24"/>
        </w:rPr>
        <w:t>Приложение 3</w:t>
      </w:r>
      <w:r w:rsidR="001B4733">
        <w:rPr>
          <w:rFonts w:ascii="Times New Roman" w:hAnsi="Times New Roman" w:cs="Times New Roman"/>
          <w:sz w:val="24"/>
          <w:szCs w:val="24"/>
        </w:rPr>
        <w:t xml:space="preserve"> </w:t>
      </w:r>
      <w:r w:rsidRPr="00B15F72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987039" w:rsidRPr="00B15F72" w:rsidRDefault="00987039" w:rsidP="00987039">
      <w:pPr>
        <w:pStyle w:val="ConsPlusNormal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B15F72">
        <w:rPr>
          <w:rFonts w:ascii="Times New Roman" w:hAnsi="Times New Roman" w:cs="Times New Roman"/>
          <w:sz w:val="24"/>
          <w:szCs w:val="24"/>
        </w:rPr>
        <w:t xml:space="preserve">сопровождения </w:t>
      </w:r>
      <w:proofErr w:type="gramStart"/>
      <w:r w:rsidRPr="00B15F72">
        <w:rPr>
          <w:rFonts w:ascii="Times New Roman" w:hAnsi="Times New Roman" w:cs="Times New Roman"/>
          <w:sz w:val="24"/>
          <w:szCs w:val="24"/>
        </w:rPr>
        <w:t>инвестиционных</w:t>
      </w:r>
      <w:proofErr w:type="gramEnd"/>
    </w:p>
    <w:p w:rsidR="00987039" w:rsidRPr="00B15F72" w:rsidRDefault="00987039" w:rsidP="00987039">
      <w:pPr>
        <w:pStyle w:val="ConsPlusNormal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B15F72">
        <w:rPr>
          <w:rFonts w:ascii="Times New Roman" w:hAnsi="Times New Roman" w:cs="Times New Roman"/>
          <w:sz w:val="24"/>
          <w:szCs w:val="24"/>
        </w:rPr>
        <w:t>проектов, реализуемых и (или)</w:t>
      </w:r>
    </w:p>
    <w:p w:rsidR="00987039" w:rsidRPr="00B15F72" w:rsidRDefault="00987039" w:rsidP="00987039">
      <w:pPr>
        <w:pStyle w:val="ConsPlusNormal"/>
        <w:ind w:right="28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15F72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B15F72">
        <w:rPr>
          <w:rFonts w:ascii="Times New Roman" w:hAnsi="Times New Roman" w:cs="Times New Roman"/>
          <w:sz w:val="24"/>
          <w:szCs w:val="24"/>
        </w:rPr>
        <w:t xml:space="preserve"> к реализации на</w:t>
      </w:r>
    </w:p>
    <w:p w:rsidR="00987039" w:rsidRPr="00B15F72" w:rsidRDefault="00987039" w:rsidP="00987039">
      <w:pPr>
        <w:pStyle w:val="ConsPlusNormal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B15F72">
        <w:rPr>
          <w:rFonts w:ascii="Times New Roman" w:hAnsi="Times New Roman" w:cs="Times New Roman"/>
          <w:sz w:val="24"/>
          <w:szCs w:val="24"/>
        </w:rPr>
        <w:t>территории Республики Карелия</w:t>
      </w:r>
    </w:p>
    <w:p w:rsidR="00987039" w:rsidRPr="00B15F72" w:rsidRDefault="00987039" w:rsidP="00987039">
      <w:pPr>
        <w:ind w:right="282"/>
        <w:rPr>
          <w:sz w:val="24"/>
          <w:szCs w:val="24"/>
        </w:rPr>
      </w:pPr>
    </w:p>
    <w:p w:rsidR="001B4733" w:rsidRDefault="001B4733" w:rsidP="00987039">
      <w:pPr>
        <w:ind w:right="282"/>
        <w:jc w:val="center"/>
        <w:rPr>
          <w:b/>
          <w:bCs/>
          <w:sz w:val="24"/>
          <w:szCs w:val="24"/>
        </w:rPr>
      </w:pPr>
    </w:p>
    <w:p w:rsidR="00987039" w:rsidRPr="00B15F72" w:rsidRDefault="00987039" w:rsidP="00987039">
      <w:pPr>
        <w:ind w:right="282"/>
        <w:jc w:val="center"/>
        <w:rPr>
          <w:b/>
          <w:bCs/>
          <w:sz w:val="24"/>
          <w:szCs w:val="24"/>
        </w:rPr>
      </w:pPr>
      <w:r w:rsidRPr="00B15F72">
        <w:rPr>
          <w:b/>
          <w:bCs/>
          <w:sz w:val="24"/>
          <w:szCs w:val="24"/>
        </w:rPr>
        <w:t>Информация</w:t>
      </w:r>
    </w:p>
    <w:p w:rsidR="00987039" w:rsidRPr="00B15F72" w:rsidRDefault="00987039" w:rsidP="00987039">
      <w:pPr>
        <w:ind w:right="282"/>
        <w:jc w:val="center"/>
        <w:rPr>
          <w:b/>
          <w:bCs/>
          <w:sz w:val="24"/>
          <w:szCs w:val="24"/>
        </w:rPr>
      </w:pPr>
      <w:r w:rsidRPr="00B15F72">
        <w:rPr>
          <w:b/>
          <w:bCs/>
          <w:sz w:val="24"/>
          <w:szCs w:val="24"/>
        </w:rPr>
        <w:t>о ходе реализации инвестиционных проектов, находящихся на сопровождении Специализированной организации</w:t>
      </w:r>
    </w:p>
    <w:p w:rsidR="00987039" w:rsidRPr="00B15F72" w:rsidRDefault="00987039" w:rsidP="00987039">
      <w:pPr>
        <w:ind w:right="282"/>
        <w:rPr>
          <w:sz w:val="24"/>
          <w:szCs w:val="24"/>
        </w:rPr>
      </w:pPr>
    </w:p>
    <w:tbl>
      <w:tblPr>
        <w:tblW w:w="10243" w:type="dxa"/>
        <w:jc w:val="center"/>
        <w:tblInd w:w="-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275"/>
        <w:gridCol w:w="1134"/>
        <w:gridCol w:w="994"/>
        <w:gridCol w:w="1133"/>
        <w:gridCol w:w="941"/>
        <w:gridCol w:w="992"/>
        <w:gridCol w:w="1560"/>
        <w:gridCol w:w="992"/>
        <w:gridCol w:w="655"/>
      </w:tblGrid>
      <w:tr w:rsidR="00987039" w:rsidRPr="00AC4D61" w:rsidTr="00637AB3">
        <w:trPr>
          <w:gridAfter w:val="1"/>
          <w:wAfter w:w="655" w:type="dxa"/>
          <w:cantSplit/>
          <w:trHeight w:val="2546"/>
          <w:tblHeader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039" w:rsidRPr="00AC4D61" w:rsidRDefault="00987039" w:rsidP="00AC4D61">
            <w:pPr>
              <w:ind w:right="-85"/>
              <w:jc w:val="center"/>
              <w:rPr>
                <w:sz w:val="24"/>
                <w:szCs w:val="24"/>
              </w:rPr>
            </w:pPr>
            <w:r w:rsidRPr="00AC4D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4D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C4D61">
              <w:rPr>
                <w:sz w:val="24"/>
                <w:szCs w:val="24"/>
              </w:rPr>
              <w:t>/</w:t>
            </w:r>
            <w:proofErr w:type="spellStart"/>
            <w:r w:rsidRPr="00AC4D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039" w:rsidRPr="00AC4D61" w:rsidRDefault="00987039" w:rsidP="00AC4D61">
            <w:pPr>
              <w:ind w:left="-108" w:right="-85"/>
              <w:jc w:val="center"/>
              <w:rPr>
                <w:sz w:val="24"/>
                <w:szCs w:val="24"/>
              </w:rPr>
            </w:pPr>
            <w:r w:rsidRPr="00AC4D61">
              <w:rPr>
                <w:sz w:val="24"/>
                <w:szCs w:val="24"/>
              </w:rPr>
              <w:t xml:space="preserve">Название </w:t>
            </w:r>
            <w:proofErr w:type="spellStart"/>
            <w:proofErr w:type="gramStart"/>
            <w:r w:rsidRPr="00AC4D61">
              <w:rPr>
                <w:sz w:val="24"/>
                <w:szCs w:val="24"/>
              </w:rPr>
              <w:t>инвести</w:t>
            </w:r>
            <w:r w:rsidR="00AC4D61">
              <w:rPr>
                <w:sz w:val="24"/>
                <w:szCs w:val="24"/>
              </w:rPr>
              <w:t>-</w:t>
            </w:r>
            <w:r w:rsidRPr="00AC4D61">
              <w:rPr>
                <w:sz w:val="24"/>
                <w:szCs w:val="24"/>
              </w:rPr>
              <w:t>ционного</w:t>
            </w:r>
            <w:proofErr w:type="spellEnd"/>
            <w:proofErr w:type="gramEnd"/>
            <w:r w:rsidRPr="00AC4D61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039" w:rsidRPr="00AC4D61" w:rsidRDefault="00987039" w:rsidP="00AC4D61">
            <w:pPr>
              <w:ind w:left="-108" w:right="-10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C4D61">
              <w:rPr>
                <w:sz w:val="24"/>
                <w:szCs w:val="24"/>
              </w:rPr>
              <w:t>Инициа</w:t>
            </w:r>
            <w:r w:rsidR="00AC4D61">
              <w:rPr>
                <w:sz w:val="24"/>
                <w:szCs w:val="24"/>
              </w:rPr>
              <w:t>-</w:t>
            </w:r>
            <w:r w:rsidRPr="00AC4D61">
              <w:rPr>
                <w:sz w:val="24"/>
                <w:szCs w:val="24"/>
              </w:rPr>
              <w:t>тор</w:t>
            </w:r>
            <w:proofErr w:type="spellEnd"/>
            <w:proofErr w:type="gramEnd"/>
            <w:r w:rsidRPr="00AC4D61">
              <w:rPr>
                <w:sz w:val="24"/>
                <w:szCs w:val="24"/>
              </w:rPr>
              <w:t xml:space="preserve"> </w:t>
            </w:r>
            <w:proofErr w:type="spellStart"/>
            <w:r w:rsidRPr="00AC4D61">
              <w:rPr>
                <w:sz w:val="24"/>
                <w:szCs w:val="24"/>
              </w:rPr>
              <w:t>инвести</w:t>
            </w:r>
            <w:r w:rsidR="00AC4D61">
              <w:rPr>
                <w:sz w:val="24"/>
                <w:szCs w:val="24"/>
              </w:rPr>
              <w:t>-</w:t>
            </w:r>
            <w:r w:rsidRPr="00AC4D61">
              <w:rPr>
                <w:sz w:val="24"/>
                <w:szCs w:val="24"/>
              </w:rPr>
              <w:t>ционного</w:t>
            </w:r>
            <w:proofErr w:type="spellEnd"/>
            <w:r w:rsidRPr="00AC4D61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039" w:rsidRPr="00AC4D61" w:rsidRDefault="00987039" w:rsidP="004B6B61">
            <w:pPr>
              <w:ind w:left="-108" w:right="-10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C4D61">
              <w:rPr>
                <w:sz w:val="24"/>
                <w:szCs w:val="24"/>
              </w:rPr>
              <w:t>Терри</w:t>
            </w:r>
            <w:r w:rsidR="00AC4D61">
              <w:rPr>
                <w:sz w:val="24"/>
                <w:szCs w:val="24"/>
              </w:rPr>
              <w:t>-</w:t>
            </w:r>
            <w:r w:rsidRPr="00AC4D61">
              <w:rPr>
                <w:sz w:val="24"/>
                <w:szCs w:val="24"/>
              </w:rPr>
              <w:t>тория</w:t>
            </w:r>
            <w:proofErr w:type="spellEnd"/>
            <w:proofErr w:type="gramEnd"/>
            <w:r w:rsidRPr="00AC4D61">
              <w:rPr>
                <w:sz w:val="24"/>
                <w:szCs w:val="24"/>
              </w:rPr>
              <w:t xml:space="preserve"> </w:t>
            </w:r>
            <w:proofErr w:type="spellStart"/>
            <w:r w:rsidR="00AC4D61">
              <w:rPr>
                <w:sz w:val="24"/>
                <w:szCs w:val="24"/>
              </w:rPr>
              <w:t>реали-</w:t>
            </w:r>
            <w:r w:rsidRPr="00AC4D61">
              <w:rPr>
                <w:sz w:val="24"/>
                <w:szCs w:val="24"/>
              </w:rPr>
              <w:t>зации</w:t>
            </w:r>
            <w:proofErr w:type="spellEnd"/>
            <w:r w:rsidRPr="00AC4D61">
              <w:rPr>
                <w:sz w:val="24"/>
                <w:szCs w:val="24"/>
              </w:rPr>
              <w:t xml:space="preserve"> </w:t>
            </w:r>
            <w:proofErr w:type="spellStart"/>
            <w:r w:rsidRPr="00AC4D61">
              <w:rPr>
                <w:sz w:val="24"/>
                <w:szCs w:val="24"/>
              </w:rPr>
              <w:t>инвес</w:t>
            </w:r>
            <w:r w:rsidR="00AC4D61">
              <w:rPr>
                <w:sz w:val="24"/>
                <w:szCs w:val="24"/>
              </w:rPr>
              <w:t>-</w:t>
            </w:r>
            <w:r w:rsidRPr="00AC4D61">
              <w:rPr>
                <w:sz w:val="24"/>
                <w:szCs w:val="24"/>
              </w:rPr>
              <w:t>тицион</w:t>
            </w:r>
            <w:r w:rsidR="00AC4D61">
              <w:rPr>
                <w:sz w:val="24"/>
                <w:szCs w:val="24"/>
              </w:rPr>
              <w:t>-</w:t>
            </w:r>
            <w:r w:rsidRPr="00AC4D61">
              <w:rPr>
                <w:sz w:val="24"/>
                <w:szCs w:val="24"/>
              </w:rPr>
              <w:t>ного</w:t>
            </w:r>
            <w:proofErr w:type="spellEnd"/>
            <w:r w:rsidRPr="00AC4D61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039" w:rsidRPr="00AC4D61" w:rsidRDefault="00987039" w:rsidP="00AC4D6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C4D61">
              <w:rPr>
                <w:sz w:val="24"/>
                <w:szCs w:val="24"/>
              </w:rPr>
              <w:t xml:space="preserve">Общая стоимость  </w:t>
            </w:r>
            <w:proofErr w:type="spellStart"/>
            <w:proofErr w:type="gramStart"/>
            <w:r w:rsidRPr="00AC4D61">
              <w:rPr>
                <w:sz w:val="24"/>
                <w:szCs w:val="24"/>
              </w:rPr>
              <w:t>инвести</w:t>
            </w:r>
            <w:r w:rsidR="00AC4D61">
              <w:rPr>
                <w:sz w:val="24"/>
                <w:szCs w:val="24"/>
              </w:rPr>
              <w:t>-</w:t>
            </w:r>
            <w:r w:rsidRPr="00AC4D61">
              <w:rPr>
                <w:sz w:val="24"/>
                <w:szCs w:val="24"/>
              </w:rPr>
              <w:t>ционного</w:t>
            </w:r>
            <w:proofErr w:type="spellEnd"/>
            <w:proofErr w:type="gramEnd"/>
            <w:r w:rsidRPr="00AC4D61">
              <w:rPr>
                <w:sz w:val="24"/>
                <w:szCs w:val="24"/>
              </w:rPr>
              <w:t xml:space="preserve"> проекта, млн. руб.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7039" w:rsidRPr="00AC4D61" w:rsidRDefault="00987039" w:rsidP="00AC4D6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C4D61">
              <w:rPr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AC4D61">
              <w:rPr>
                <w:sz w:val="24"/>
                <w:szCs w:val="24"/>
              </w:rPr>
              <w:t>созда</w:t>
            </w:r>
            <w:r w:rsidR="00AC4D61">
              <w:rPr>
                <w:sz w:val="24"/>
                <w:szCs w:val="24"/>
              </w:rPr>
              <w:t>-</w:t>
            </w:r>
            <w:r w:rsidRPr="00AC4D61">
              <w:rPr>
                <w:sz w:val="24"/>
                <w:szCs w:val="24"/>
              </w:rPr>
              <w:t>ваемых</w:t>
            </w:r>
            <w:proofErr w:type="spellEnd"/>
            <w:proofErr w:type="gramEnd"/>
            <w:r w:rsidRPr="00AC4D61">
              <w:rPr>
                <w:sz w:val="24"/>
                <w:szCs w:val="24"/>
              </w:rPr>
              <w:t xml:space="preserve"> рабочих 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039" w:rsidRPr="00AC4D61" w:rsidRDefault="00987039" w:rsidP="00AC4D61">
            <w:pPr>
              <w:ind w:left="-109" w:right="-10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C4D61">
              <w:rPr>
                <w:sz w:val="24"/>
                <w:szCs w:val="24"/>
              </w:rPr>
              <w:t>Плани</w:t>
            </w:r>
            <w:r w:rsidR="00AC4D61">
              <w:rPr>
                <w:sz w:val="24"/>
                <w:szCs w:val="24"/>
              </w:rPr>
              <w:t>-</w:t>
            </w:r>
            <w:r w:rsidRPr="00AC4D61">
              <w:rPr>
                <w:sz w:val="24"/>
                <w:szCs w:val="24"/>
              </w:rPr>
              <w:t>руемые</w:t>
            </w:r>
            <w:proofErr w:type="spellEnd"/>
            <w:proofErr w:type="gramEnd"/>
            <w:r w:rsidRPr="00AC4D61">
              <w:rPr>
                <w:sz w:val="24"/>
                <w:szCs w:val="24"/>
              </w:rPr>
              <w:t xml:space="preserve"> сроки </w:t>
            </w:r>
            <w:proofErr w:type="spellStart"/>
            <w:r w:rsidR="00AC4D61">
              <w:rPr>
                <w:sz w:val="24"/>
                <w:szCs w:val="24"/>
              </w:rPr>
              <w:t>реалии-</w:t>
            </w:r>
            <w:r w:rsidRPr="00AC4D61">
              <w:rPr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039" w:rsidRPr="00AC4D61" w:rsidRDefault="00987039" w:rsidP="00AC4D61">
            <w:pPr>
              <w:ind w:left="-109" w:right="-46"/>
              <w:jc w:val="center"/>
              <w:rPr>
                <w:sz w:val="24"/>
                <w:szCs w:val="24"/>
              </w:rPr>
            </w:pPr>
            <w:r w:rsidRPr="00AC4D61">
              <w:rPr>
                <w:sz w:val="24"/>
                <w:szCs w:val="24"/>
              </w:rPr>
              <w:t xml:space="preserve">Стадия реализации </w:t>
            </w:r>
            <w:proofErr w:type="spellStart"/>
            <w:proofErr w:type="gramStart"/>
            <w:r w:rsidRPr="00AC4D61">
              <w:rPr>
                <w:sz w:val="24"/>
                <w:szCs w:val="24"/>
              </w:rPr>
              <w:t>инвестицион</w:t>
            </w:r>
            <w:r w:rsidR="00AC4D61">
              <w:rPr>
                <w:sz w:val="24"/>
                <w:szCs w:val="24"/>
              </w:rPr>
              <w:t>-</w:t>
            </w:r>
            <w:r w:rsidRPr="00AC4D61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AC4D61">
              <w:rPr>
                <w:sz w:val="24"/>
                <w:szCs w:val="24"/>
              </w:rPr>
              <w:t xml:space="preserve"> проекта  с указанием уровня готовности документации по проекту (наличие бизнес плана, проектно-сметной </w:t>
            </w:r>
            <w:proofErr w:type="spellStart"/>
            <w:r w:rsidRPr="00AC4D61">
              <w:rPr>
                <w:sz w:val="24"/>
                <w:szCs w:val="24"/>
              </w:rPr>
              <w:t>доку</w:t>
            </w:r>
            <w:r w:rsidR="007159AA">
              <w:rPr>
                <w:sz w:val="24"/>
                <w:szCs w:val="24"/>
              </w:rPr>
              <w:t>-</w:t>
            </w:r>
            <w:r w:rsidRPr="00AC4D61">
              <w:rPr>
                <w:sz w:val="24"/>
                <w:szCs w:val="24"/>
              </w:rPr>
              <w:t>ментации</w:t>
            </w:r>
            <w:proofErr w:type="spellEnd"/>
            <w:r w:rsidRPr="00AC4D61">
              <w:rPr>
                <w:sz w:val="24"/>
                <w:szCs w:val="24"/>
              </w:rPr>
              <w:t xml:space="preserve"> пр.)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039" w:rsidRPr="00AC4D61" w:rsidRDefault="00987039" w:rsidP="00AC4D61">
            <w:pPr>
              <w:ind w:left="-109" w:right="-4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C4D61">
              <w:rPr>
                <w:sz w:val="24"/>
                <w:szCs w:val="24"/>
              </w:rPr>
              <w:t>Испол</w:t>
            </w:r>
            <w:r w:rsidR="00AC4D61">
              <w:rPr>
                <w:sz w:val="24"/>
                <w:szCs w:val="24"/>
              </w:rPr>
              <w:t>-</w:t>
            </w:r>
            <w:r w:rsidRPr="00AC4D61">
              <w:rPr>
                <w:sz w:val="24"/>
                <w:szCs w:val="24"/>
              </w:rPr>
              <w:t>нение</w:t>
            </w:r>
            <w:proofErr w:type="spellEnd"/>
            <w:proofErr w:type="gramEnd"/>
            <w:r w:rsidRPr="00AC4D61">
              <w:rPr>
                <w:sz w:val="24"/>
                <w:szCs w:val="24"/>
              </w:rPr>
              <w:t xml:space="preserve"> плана </w:t>
            </w:r>
            <w:proofErr w:type="spellStart"/>
            <w:r w:rsidRPr="00AC4D61">
              <w:rPr>
                <w:sz w:val="24"/>
                <w:szCs w:val="24"/>
              </w:rPr>
              <w:t>меро</w:t>
            </w:r>
            <w:r w:rsidR="00AC4D61">
              <w:rPr>
                <w:sz w:val="24"/>
                <w:szCs w:val="24"/>
              </w:rPr>
              <w:t>-</w:t>
            </w:r>
            <w:r w:rsidRPr="00AC4D61">
              <w:rPr>
                <w:sz w:val="24"/>
                <w:szCs w:val="24"/>
              </w:rPr>
              <w:t>приятий</w:t>
            </w:r>
            <w:proofErr w:type="spellEnd"/>
            <w:r w:rsidRPr="00AC4D61">
              <w:rPr>
                <w:sz w:val="24"/>
                <w:szCs w:val="24"/>
              </w:rPr>
              <w:t xml:space="preserve"> по </w:t>
            </w:r>
            <w:proofErr w:type="spellStart"/>
            <w:r w:rsidR="00AC4D61">
              <w:rPr>
                <w:sz w:val="24"/>
                <w:szCs w:val="24"/>
              </w:rPr>
              <w:t>реали-</w:t>
            </w:r>
            <w:r w:rsidRPr="00AC4D61">
              <w:rPr>
                <w:sz w:val="24"/>
                <w:szCs w:val="24"/>
              </w:rPr>
              <w:t>зации</w:t>
            </w:r>
            <w:proofErr w:type="spellEnd"/>
            <w:r w:rsidRPr="00AC4D61">
              <w:rPr>
                <w:sz w:val="24"/>
                <w:szCs w:val="24"/>
              </w:rPr>
              <w:t xml:space="preserve"> </w:t>
            </w:r>
            <w:proofErr w:type="spellStart"/>
            <w:r w:rsidRPr="00AC4D61">
              <w:rPr>
                <w:sz w:val="24"/>
                <w:szCs w:val="24"/>
              </w:rPr>
              <w:t>инвести</w:t>
            </w:r>
            <w:r w:rsidR="00AC4D61">
              <w:rPr>
                <w:sz w:val="24"/>
                <w:szCs w:val="24"/>
              </w:rPr>
              <w:t>-</w:t>
            </w:r>
            <w:r w:rsidRPr="00AC4D61">
              <w:rPr>
                <w:sz w:val="24"/>
                <w:szCs w:val="24"/>
              </w:rPr>
              <w:t>цион</w:t>
            </w:r>
            <w:r w:rsidR="007159AA">
              <w:rPr>
                <w:sz w:val="24"/>
                <w:szCs w:val="24"/>
              </w:rPr>
              <w:t>-</w:t>
            </w:r>
            <w:r w:rsidRPr="00AC4D61">
              <w:rPr>
                <w:sz w:val="24"/>
                <w:szCs w:val="24"/>
              </w:rPr>
              <w:t>ного</w:t>
            </w:r>
            <w:proofErr w:type="spellEnd"/>
            <w:r w:rsidRPr="00AC4D61">
              <w:rPr>
                <w:sz w:val="24"/>
                <w:szCs w:val="24"/>
              </w:rPr>
              <w:t xml:space="preserve"> проекта</w:t>
            </w:r>
          </w:p>
        </w:tc>
      </w:tr>
      <w:tr w:rsidR="00987039" w:rsidRPr="00AC4D61" w:rsidTr="00637AB3">
        <w:trPr>
          <w:gridAfter w:val="1"/>
          <w:wAfter w:w="655" w:type="dxa"/>
          <w:tblHeader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039" w:rsidRPr="00AC4D61" w:rsidRDefault="00987039" w:rsidP="00987039">
            <w:pPr>
              <w:ind w:right="282"/>
              <w:jc w:val="center"/>
              <w:rPr>
                <w:sz w:val="24"/>
                <w:szCs w:val="24"/>
              </w:rPr>
            </w:pPr>
            <w:r w:rsidRPr="00AC4D6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039" w:rsidRPr="00AC4D61" w:rsidRDefault="00987039" w:rsidP="00987039">
            <w:pPr>
              <w:ind w:right="282"/>
              <w:jc w:val="center"/>
              <w:rPr>
                <w:sz w:val="24"/>
                <w:szCs w:val="24"/>
              </w:rPr>
            </w:pPr>
            <w:r w:rsidRPr="00AC4D6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039" w:rsidRPr="00AC4D61" w:rsidRDefault="00987039" w:rsidP="00987039">
            <w:pPr>
              <w:ind w:right="282"/>
              <w:jc w:val="center"/>
              <w:rPr>
                <w:sz w:val="24"/>
                <w:szCs w:val="24"/>
              </w:rPr>
            </w:pPr>
            <w:r w:rsidRPr="00AC4D61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039" w:rsidRPr="00AC4D61" w:rsidRDefault="00987039" w:rsidP="00987039">
            <w:pPr>
              <w:ind w:right="282"/>
              <w:jc w:val="center"/>
              <w:rPr>
                <w:sz w:val="24"/>
                <w:szCs w:val="24"/>
              </w:rPr>
            </w:pPr>
            <w:r w:rsidRPr="00AC4D61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039" w:rsidRPr="00AC4D61" w:rsidRDefault="00987039" w:rsidP="00987039">
            <w:pPr>
              <w:ind w:right="282"/>
              <w:jc w:val="center"/>
              <w:rPr>
                <w:sz w:val="24"/>
                <w:szCs w:val="24"/>
              </w:rPr>
            </w:pPr>
            <w:r w:rsidRPr="00AC4D61">
              <w:rPr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7039" w:rsidRPr="00AC4D61" w:rsidRDefault="00987039" w:rsidP="00987039">
            <w:pPr>
              <w:ind w:right="282"/>
              <w:jc w:val="center"/>
              <w:rPr>
                <w:sz w:val="24"/>
                <w:szCs w:val="24"/>
              </w:rPr>
            </w:pPr>
            <w:r w:rsidRPr="00AC4D6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039" w:rsidRPr="00AC4D61" w:rsidRDefault="00987039" w:rsidP="00987039">
            <w:pPr>
              <w:ind w:right="282"/>
              <w:jc w:val="center"/>
              <w:rPr>
                <w:sz w:val="24"/>
                <w:szCs w:val="24"/>
              </w:rPr>
            </w:pPr>
            <w:r w:rsidRPr="00AC4D61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039" w:rsidRPr="00AC4D61" w:rsidRDefault="00987039" w:rsidP="00987039">
            <w:pPr>
              <w:ind w:right="282"/>
              <w:jc w:val="center"/>
              <w:rPr>
                <w:sz w:val="24"/>
                <w:szCs w:val="24"/>
              </w:rPr>
            </w:pPr>
            <w:r w:rsidRPr="00AC4D61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039" w:rsidRPr="00AC4D61" w:rsidRDefault="00987039" w:rsidP="00987039">
            <w:pPr>
              <w:ind w:right="282"/>
              <w:jc w:val="center"/>
              <w:rPr>
                <w:sz w:val="24"/>
                <w:szCs w:val="24"/>
              </w:rPr>
            </w:pPr>
            <w:r w:rsidRPr="00AC4D61">
              <w:rPr>
                <w:sz w:val="24"/>
                <w:szCs w:val="24"/>
              </w:rPr>
              <w:t>9</w:t>
            </w:r>
          </w:p>
        </w:tc>
      </w:tr>
      <w:tr w:rsidR="004B6B61" w:rsidRPr="00B15F72" w:rsidTr="00637AB3">
        <w:trPr>
          <w:tblHeader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61" w:rsidRPr="00B15F72" w:rsidRDefault="004B6B61" w:rsidP="00987039">
            <w:pPr>
              <w:ind w:right="2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61" w:rsidRPr="00B15F72" w:rsidRDefault="004B6B61" w:rsidP="00987039">
            <w:pPr>
              <w:ind w:right="2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61" w:rsidRPr="00B15F72" w:rsidRDefault="004B6B61" w:rsidP="00987039">
            <w:pPr>
              <w:ind w:right="2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61" w:rsidRPr="00B15F72" w:rsidRDefault="004B6B61" w:rsidP="00987039">
            <w:pPr>
              <w:ind w:right="2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6B61" w:rsidRPr="00B15F72" w:rsidRDefault="004B6B61" w:rsidP="00987039">
            <w:pPr>
              <w:ind w:right="2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6B61" w:rsidRPr="00B15F72" w:rsidRDefault="004B6B61" w:rsidP="00987039">
            <w:pPr>
              <w:ind w:right="2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61" w:rsidRPr="00B15F72" w:rsidRDefault="004B6B61" w:rsidP="00987039">
            <w:pPr>
              <w:ind w:right="2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61" w:rsidRPr="00B15F72" w:rsidRDefault="004B6B61" w:rsidP="00987039">
            <w:pPr>
              <w:ind w:right="2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6B61" w:rsidRPr="00B15F72" w:rsidRDefault="004B6B61" w:rsidP="00987039">
            <w:pPr>
              <w:ind w:right="2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B6B61" w:rsidRPr="00193134" w:rsidRDefault="004B6B61" w:rsidP="00193134">
            <w:pPr>
              <w:rPr>
                <w:b/>
                <w:sz w:val="24"/>
                <w:szCs w:val="24"/>
              </w:rPr>
            </w:pPr>
            <w:r w:rsidRPr="00193134">
              <w:rPr>
                <w:sz w:val="24"/>
                <w:szCs w:val="24"/>
              </w:rPr>
              <w:t>»</w:t>
            </w:r>
            <w:r w:rsidR="00193134" w:rsidRPr="00193134">
              <w:rPr>
                <w:sz w:val="24"/>
                <w:szCs w:val="24"/>
              </w:rPr>
              <w:t>;</w:t>
            </w:r>
          </w:p>
        </w:tc>
      </w:tr>
    </w:tbl>
    <w:p w:rsidR="00987039" w:rsidRDefault="00987039" w:rsidP="004B6B61">
      <w:pPr>
        <w:pStyle w:val="ConsPlusNormal"/>
        <w:spacing w:before="240"/>
        <w:ind w:right="282" w:firstLine="709"/>
        <w:jc w:val="both"/>
        <w:rPr>
          <w:b/>
          <w:bCs/>
          <w:sz w:val="22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9) приложение 4 признать утратившим силу.</w:t>
      </w: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57282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5E5E7F">
      <w:pPr>
        <w:ind w:firstLine="4820"/>
      </w:pPr>
      <w:bookmarkStart w:id="2" w:name="_GoBack"/>
      <w:bookmarkEnd w:id="2"/>
    </w:p>
    <w:sectPr w:rsidR="00884FE1" w:rsidSect="00987039">
      <w:headerReference w:type="firs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B61" w:rsidRDefault="004B6B61" w:rsidP="00CE0D98">
      <w:r>
        <w:separator/>
      </w:r>
    </w:p>
  </w:endnote>
  <w:endnote w:type="continuationSeparator" w:id="0">
    <w:p w:rsidR="004B6B61" w:rsidRDefault="004B6B61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B61" w:rsidRDefault="004B6B61" w:rsidP="00CE0D98">
      <w:r>
        <w:separator/>
      </w:r>
    </w:p>
  </w:footnote>
  <w:footnote w:type="continuationSeparator" w:id="0">
    <w:p w:rsidR="004B6B61" w:rsidRDefault="004B6B61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061" w:rsidRDefault="007560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377274"/>
    <w:multiLevelType w:val="hybridMultilevel"/>
    <w:tmpl w:val="231C3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3134"/>
    <w:rsid w:val="00195D34"/>
    <w:rsid w:val="001A000A"/>
    <w:rsid w:val="001B3D79"/>
    <w:rsid w:val="001B4733"/>
    <w:rsid w:val="001B5773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058BB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B6B61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D1E40"/>
    <w:rsid w:val="005E064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31C31"/>
    <w:rsid w:val="00637AB3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188E"/>
    <w:rsid w:val="007072B5"/>
    <w:rsid w:val="007159AA"/>
    <w:rsid w:val="00726286"/>
    <w:rsid w:val="00756061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538DC"/>
    <w:rsid w:val="00961BBC"/>
    <w:rsid w:val="009707AD"/>
    <w:rsid w:val="00987039"/>
    <w:rsid w:val="009C62EF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44F2C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4D61"/>
    <w:rsid w:val="00AC72DD"/>
    <w:rsid w:val="00AC7D1C"/>
    <w:rsid w:val="00AD6FA7"/>
    <w:rsid w:val="00AE3683"/>
    <w:rsid w:val="00B02337"/>
    <w:rsid w:val="00B14271"/>
    <w:rsid w:val="00B15F72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F03EE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2684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6783F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99C1E-33B8-4239-9C04-FFF56BC4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1737</Words>
  <Characters>13597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17</cp:revision>
  <cp:lastPrinted>2018-07-30T09:50:00Z</cp:lastPrinted>
  <dcterms:created xsi:type="dcterms:W3CDTF">2018-07-18T12:52:00Z</dcterms:created>
  <dcterms:modified xsi:type="dcterms:W3CDTF">2018-07-30T09:50:00Z</dcterms:modified>
</cp:coreProperties>
</file>