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07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307EC">
        <w:t>25 июля 2018 года № 482р-П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86015" w:rsidRPr="003C35CE" w:rsidRDefault="00986015" w:rsidP="00986015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Внести в </w:t>
      </w:r>
      <w:r w:rsidRPr="00D24725">
        <w:rPr>
          <w:szCs w:val="28"/>
        </w:rPr>
        <w:t xml:space="preserve">распоряжение </w:t>
      </w:r>
      <w:r>
        <w:rPr>
          <w:szCs w:val="28"/>
        </w:rPr>
        <w:t xml:space="preserve">Правительства Республики Карелия от </w:t>
      </w:r>
      <w:r w:rsidRPr="004D78E1">
        <w:rPr>
          <w:szCs w:val="28"/>
        </w:rPr>
        <w:t xml:space="preserve">26 </w:t>
      </w:r>
      <w:r>
        <w:rPr>
          <w:szCs w:val="28"/>
        </w:rPr>
        <w:t xml:space="preserve">марта 2018 года № 241р-П с </w:t>
      </w:r>
      <w:r w:rsidRPr="008D090D">
        <w:rPr>
          <w:szCs w:val="28"/>
        </w:rPr>
        <w:t xml:space="preserve">изменениями, внесенными распоряжением Правительства Республики Карелия </w:t>
      </w:r>
      <w:r>
        <w:rPr>
          <w:szCs w:val="28"/>
        </w:rPr>
        <w:t>от 25 апреля 2018 года</w:t>
      </w:r>
      <w:r w:rsidRPr="008D090D">
        <w:rPr>
          <w:szCs w:val="28"/>
        </w:rPr>
        <w:t xml:space="preserve"> № 313р-П, следующие</w:t>
      </w:r>
      <w:r w:rsidRPr="003C35CE">
        <w:rPr>
          <w:szCs w:val="28"/>
        </w:rPr>
        <w:t xml:space="preserve"> изменения:</w:t>
      </w:r>
    </w:p>
    <w:p w:rsidR="00986015" w:rsidRPr="00F7606A" w:rsidRDefault="00986015" w:rsidP="00986015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1) </w:t>
      </w:r>
      <w:r w:rsidRPr="00F7606A">
        <w:rPr>
          <w:szCs w:val="28"/>
        </w:rPr>
        <w:t>в пункте 4:</w:t>
      </w:r>
    </w:p>
    <w:p w:rsidR="00986015" w:rsidRPr="00493ACC" w:rsidRDefault="00986015" w:rsidP="009860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в абзаце первом слова «Главным распорядителям средств бюджета Республики Карелия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 xml:space="preserve"> заменить словами «Органам исполнительной власти Республики Карелия, являющимся главными распорядителями средств бюджета Республики Карелия:»;</w:t>
      </w:r>
    </w:p>
    <w:p w:rsidR="00986015" w:rsidRDefault="00986015" w:rsidP="009860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C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подпункте 5 слова «до 1 мая» заменить словами «до 1 сентября»;</w:t>
      </w:r>
    </w:p>
    <w:p w:rsidR="00986015" w:rsidRDefault="00986015" w:rsidP="009860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6 слова «до 1 июня» заменить словами «до 1 октября»;</w:t>
      </w:r>
    </w:p>
    <w:p w:rsidR="00986015" w:rsidRDefault="00986015" w:rsidP="009860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подпункт 7 дополнить абзацем следующего содержания:</w:t>
      </w:r>
    </w:p>
    <w:p w:rsidR="005C0E3D" w:rsidRDefault="00986015" w:rsidP="009860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3D21">
        <w:rPr>
          <w:rFonts w:ascii="Times New Roman" w:hAnsi="Times New Roman" w:cs="Times New Roman"/>
          <w:sz w:val="28"/>
          <w:szCs w:val="28"/>
        </w:rPr>
        <w:t xml:space="preserve">в сроки, установленные Министерством финансов Республики Карелия, обеспечить представление в Министерство финансов Республики Карелия предложений об изменении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023D21">
        <w:rPr>
          <w:rFonts w:ascii="Times New Roman" w:hAnsi="Times New Roman" w:cs="Times New Roman"/>
          <w:sz w:val="28"/>
          <w:szCs w:val="28"/>
        </w:rPr>
        <w:t xml:space="preserve"> уменьшения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023D21">
        <w:rPr>
          <w:rFonts w:ascii="Times New Roman" w:hAnsi="Times New Roman" w:cs="Times New Roman"/>
          <w:sz w:val="28"/>
          <w:szCs w:val="28"/>
        </w:rPr>
        <w:t xml:space="preserve"> экономии бюджетных ассигнований</w:t>
      </w:r>
      <w:proofErr w:type="gramStart"/>
      <w:r w:rsidR="005C0E3D">
        <w:rPr>
          <w:rFonts w:ascii="Times New Roman" w:hAnsi="Times New Roman" w:cs="Times New Roman"/>
          <w:sz w:val="28"/>
          <w:szCs w:val="28"/>
        </w:rPr>
        <w:t>;</w:t>
      </w:r>
      <w:r w:rsidR="0042586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586B">
        <w:rPr>
          <w:rFonts w:ascii="Times New Roman" w:hAnsi="Times New Roman" w:cs="Times New Roman"/>
          <w:sz w:val="28"/>
          <w:szCs w:val="28"/>
        </w:rPr>
        <w:t>;</w:t>
      </w:r>
    </w:p>
    <w:p w:rsidR="00986015" w:rsidRDefault="00986015" w:rsidP="009860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24725">
        <w:rPr>
          <w:rFonts w:ascii="Times New Roman" w:hAnsi="Times New Roman" w:cs="Times New Roman"/>
          <w:sz w:val="28"/>
          <w:szCs w:val="28"/>
        </w:rPr>
        <w:t>в подпункте 8 после слов «</w:t>
      </w:r>
      <w:r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Pr="00D24725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D247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4725">
        <w:rPr>
          <w:rFonts w:ascii="Times New Roman" w:hAnsi="Times New Roman" w:cs="Times New Roman"/>
          <w:sz w:val="28"/>
          <w:szCs w:val="28"/>
        </w:rPr>
        <w:t xml:space="preserve">«,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D24725">
        <w:rPr>
          <w:rFonts w:ascii="Times New Roman" w:hAnsi="Times New Roman" w:cs="Times New Roman"/>
          <w:sz w:val="28"/>
          <w:szCs w:val="28"/>
        </w:rPr>
        <w:t xml:space="preserve"> расходов на выплату уволенным</w:t>
      </w:r>
      <w:r w:rsidRPr="007256DE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5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5C0E3D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Pr="00D24725">
        <w:rPr>
          <w:rFonts w:ascii="Times New Roman" w:hAnsi="Times New Roman" w:cs="Times New Roman"/>
          <w:sz w:val="28"/>
          <w:szCs w:val="28"/>
        </w:rPr>
        <w:t>(работникам) среднего месячного заработка на период трудоустройства в случае их увольнения в связи с ликвидацией организации</w:t>
      </w:r>
      <w:r w:rsidR="0042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сокращением численности или </w:t>
      </w:r>
      <w:r w:rsidRPr="00D24725">
        <w:rPr>
          <w:rFonts w:ascii="Times New Roman" w:hAnsi="Times New Roman" w:cs="Times New Roman"/>
          <w:sz w:val="28"/>
          <w:szCs w:val="28"/>
        </w:rPr>
        <w:t>штата работников организации»;</w:t>
      </w:r>
    </w:p>
    <w:p w:rsidR="00986015" w:rsidRDefault="00986015" w:rsidP="009860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второй подпункта 1 пункта 9 изложить в следующей редакции:</w:t>
      </w:r>
    </w:p>
    <w:p w:rsidR="00986015" w:rsidRDefault="00986015" w:rsidP="00986015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06A">
        <w:rPr>
          <w:rFonts w:ascii="Times New Roman" w:hAnsi="Times New Roman" w:cs="Times New Roman"/>
          <w:sz w:val="28"/>
          <w:szCs w:val="28"/>
        </w:rPr>
        <w:t>«предложени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606A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Республики Карелия об изменении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, указанного в абзаце пятом подпункта 7 пункта 4 настоящего распоряжения</w:t>
      </w:r>
      <w:proofErr w:type="gramStart"/>
      <w:r w:rsidR="005C0E3D">
        <w:rPr>
          <w:rFonts w:ascii="Times New Roman" w:hAnsi="Times New Roman" w:cs="Times New Roman"/>
          <w:sz w:val="28"/>
          <w:szCs w:val="28"/>
        </w:rPr>
        <w:t>;</w:t>
      </w:r>
      <w:r w:rsidRPr="00F760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7606A">
        <w:rPr>
          <w:rFonts w:ascii="Times New Roman" w:hAnsi="Times New Roman" w:cs="Times New Roman"/>
          <w:sz w:val="28"/>
          <w:szCs w:val="28"/>
        </w:rPr>
        <w:t>;</w:t>
      </w:r>
    </w:p>
    <w:p w:rsidR="00986015" w:rsidRDefault="00986015" w:rsidP="00986015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3) </w:t>
      </w:r>
      <w:r w:rsidRPr="002D5F59">
        <w:rPr>
          <w:szCs w:val="28"/>
        </w:rPr>
        <w:t>приложение 1</w:t>
      </w:r>
      <w:r>
        <w:t xml:space="preserve"> </w:t>
      </w:r>
      <w:r w:rsidRPr="00F7606A">
        <w:rPr>
          <w:szCs w:val="28"/>
        </w:rPr>
        <w:t>изложить в следующей редакции:</w:t>
      </w:r>
    </w:p>
    <w:p w:rsidR="00986015" w:rsidRDefault="00986015" w:rsidP="00986015">
      <w:pPr>
        <w:autoSpaceDE w:val="0"/>
        <w:autoSpaceDN w:val="0"/>
        <w:adjustRightInd w:val="0"/>
        <w:ind w:left="567"/>
        <w:jc w:val="both"/>
        <w:rPr>
          <w:szCs w:val="28"/>
        </w:rPr>
        <w:sectPr w:rsidR="00986015" w:rsidSect="00C21EA6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docGrid w:linePitch="381"/>
        </w:sectPr>
      </w:pPr>
    </w:p>
    <w:tbl>
      <w:tblPr>
        <w:tblW w:w="15087" w:type="dxa"/>
        <w:tblInd w:w="93" w:type="dxa"/>
        <w:tblLook w:val="04A0"/>
      </w:tblPr>
      <w:tblGrid>
        <w:gridCol w:w="15087"/>
      </w:tblGrid>
      <w:tr w:rsidR="005C0E3D" w:rsidRPr="00B65FDC" w:rsidTr="00ED4E72">
        <w:trPr>
          <w:trHeight w:val="315"/>
        </w:trPr>
        <w:tc>
          <w:tcPr>
            <w:tcW w:w="1508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C0E3D" w:rsidRPr="00B65FDC" w:rsidRDefault="005C0E3D" w:rsidP="0005780E">
            <w:pPr>
              <w:ind w:left="954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«</w:t>
            </w:r>
            <w:r w:rsidRPr="00B65FDC">
              <w:rPr>
                <w:color w:val="000000"/>
                <w:szCs w:val="28"/>
              </w:rPr>
              <w:t>Приложение 1</w:t>
            </w:r>
          </w:p>
          <w:p w:rsidR="005C0E3D" w:rsidRPr="00B65FDC" w:rsidRDefault="005C0E3D" w:rsidP="00ED4E72">
            <w:pPr>
              <w:autoSpaceDE w:val="0"/>
              <w:autoSpaceDN w:val="0"/>
              <w:adjustRightInd w:val="0"/>
              <w:ind w:left="9546" w:right="-2"/>
              <w:rPr>
                <w:szCs w:val="28"/>
              </w:rPr>
            </w:pPr>
            <w:r w:rsidRPr="00B65FDC">
              <w:rPr>
                <w:szCs w:val="28"/>
              </w:rPr>
              <w:t>к распоряжению Правительства</w:t>
            </w:r>
          </w:p>
          <w:p w:rsidR="005C0E3D" w:rsidRPr="00B65FDC" w:rsidRDefault="005C0E3D" w:rsidP="00ED4E72">
            <w:pPr>
              <w:autoSpaceDE w:val="0"/>
              <w:autoSpaceDN w:val="0"/>
              <w:adjustRightInd w:val="0"/>
              <w:ind w:left="9546" w:right="-2"/>
              <w:rPr>
                <w:szCs w:val="28"/>
              </w:rPr>
            </w:pPr>
            <w:r w:rsidRPr="00B65FDC">
              <w:rPr>
                <w:szCs w:val="28"/>
              </w:rPr>
              <w:t>Республики Карелия</w:t>
            </w:r>
          </w:p>
          <w:p w:rsidR="005C0E3D" w:rsidRPr="00B65FDC" w:rsidRDefault="005C0E3D" w:rsidP="00ED4E72">
            <w:pPr>
              <w:autoSpaceDE w:val="0"/>
              <w:autoSpaceDN w:val="0"/>
              <w:adjustRightInd w:val="0"/>
              <w:ind w:left="9546" w:right="-2"/>
              <w:rPr>
                <w:szCs w:val="28"/>
              </w:rPr>
            </w:pPr>
            <w:r w:rsidRPr="00B65FDC">
              <w:rPr>
                <w:szCs w:val="28"/>
              </w:rPr>
              <w:t xml:space="preserve">от  </w:t>
            </w:r>
            <w:r>
              <w:rPr>
                <w:szCs w:val="28"/>
              </w:rPr>
              <w:t>26 марта 2018 года</w:t>
            </w:r>
            <w:r w:rsidRPr="00B65FDC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241р-П</w:t>
            </w:r>
          </w:p>
          <w:p w:rsidR="005C0E3D" w:rsidRPr="00B65FDC" w:rsidRDefault="005C0E3D" w:rsidP="00ED4E72">
            <w:pPr>
              <w:jc w:val="right"/>
              <w:rPr>
                <w:szCs w:val="28"/>
              </w:rPr>
            </w:pPr>
          </w:p>
          <w:p w:rsidR="005C0E3D" w:rsidRPr="00B65FDC" w:rsidRDefault="005C0E3D" w:rsidP="00ED4E72">
            <w:pPr>
              <w:jc w:val="center"/>
              <w:rPr>
                <w:szCs w:val="28"/>
              </w:rPr>
            </w:pPr>
            <w:r w:rsidRPr="00B65FDC">
              <w:rPr>
                <w:b/>
                <w:bCs/>
                <w:color w:val="000000"/>
                <w:szCs w:val="28"/>
              </w:rPr>
              <w:t>Прогнозируемые поступления доходов бюджета Республики Карелия по главным администраторам доходов                                                                                                                                       на 2018 год и на плановый период 2019 и 2020 годов</w:t>
            </w:r>
          </w:p>
          <w:p w:rsidR="005C0E3D" w:rsidRPr="00B65FDC" w:rsidRDefault="005C0E3D" w:rsidP="00533A2C">
            <w:pPr>
              <w:jc w:val="right"/>
              <w:rPr>
                <w:sz w:val="24"/>
                <w:szCs w:val="24"/>
              </w:rPr>
            </w:pPr>
            <w:r w:rsidRPr="00B65FDC">
              <w:rPr>
                <w:sz w:val="24"/>
                <w:szCs w:val="24"/>
              </w:rPr>
              <w:t>(тыс. рублей)</w:t>
            </w:r>
          </w:p>
        </w:tc>
      </w:tr>
    </w:tbl>
    <w:p w:rsidR="005C0E3D" w:rsidRPr="00B65FDC" w:rsidRDefault="005C0E3D" w:rsidP="005C0E3D">
      <w:pPr>
        <w:jc w:val="center"/>
        <w:rPr>
          <w:b/>
          <w:bCs/>
          <w:color w:val="000000"/>
          <w:sz w:val="24"/>
          <w:szCs w:val="24"/>
        </w:rPr>
        <w:sectPr w:rsidR="005C0E3D" w:rsidRPr="00B65FDC" w:rsidSect="0005780E">
          <w:headerReference w:type="default" r:id="rId13"/>
          <w:pgSz w:w="16838" w:h="11906" w:orient="landscape"/>
          <w:pgMar w:top="1134" w:right="567" w:bottom="851" w:left="992" w:header="709" w:footer="709" w:gutter="0"/>
          <w:pgNumType w:start="2"/>
          <w:cols w:space="720"/>
          <w:docGrid w:linePitch="381"/>
        </w:sectPr>
      </w:pPr>
    </w:p>
    <w:tbl>
      <w:tblPr>
        <w:tblW w:w="15324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761"/>
      </w:tblGrid>
      <w:tr w:rsidR="005C0E3D" w:rsidRPr="00961E02" w:rsidTr="00AD5619">
        <w:trPr>
          <w:trHeight w:val="608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3D" w:rsidRPr="00AD5619" w:rsidRDefault="005C0E3D" w:rsidP="00ED4E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AD5619" w:rsidRDefault="005C0E3D" w:rsidP="00AD56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AD5619" w:rsidRDefault="005C0E3D" w:rsidP="00AD56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t>Сумма доходов</w:t>
            </w:r>
          </w:p>
        </w:tc>
      </w:tr>
      <w:tr w:rsidR="005C0E3D" w:rsidRPr="00961E02" w:rsidTr="00AD5619">
        <w:trPr>
          <w:trHeight w:val="904"/>
        </w:trPr>
        <w:tc>
          <w:tcPr>
            <w:tcW w:w="11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AD5619" w:rsidRDefault="005C0E3D" w:rsidP="00ED4E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AD5619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AD5619"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E3D" w:rsidRPr="00AD5619" w:rsidRDefault="005C0E3D" w:rsidP="00AD56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t>доходов бюджета Республики Карелия</w:t>
            </w: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E3D" w:rsidRPr="00AD5619" w:rsidRDefault="005C0E3D" w:rsidP="00AD561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E3D" w:rsidRPr="00AD5619" w:rsidRDefault="005C0E3D" w:rsidP="00AD56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E3D" w:rsidRPr="00AD5619" w:rsidRDefault="005C0E3D" w:rsidP="00AD56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0E3D" w:rsidRPr="00AD5619" w:rsidRDefault="005C0E3D" w:rsidP="00AD561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D5619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</w:tr>
    </w:tbl>
    <w:p w:rsidR="005C0E3D" w:rsidRDefault="005C0E3D" w:rsidP="005C0E3D">
      <w:pPr>
        <w:jc w:val="center"/>
        <w:rPr>
          <w:color w:val="000000"/>
          <w:sz w:val="24"/>
          <w:szCs w:val="24"/>
        </w:rPr>
        <w:sectPr w:rsidR="005C0E3D" w:rsidSect="005C0E3D">
          <w:type w:val="continuous"/>
          <w:pgSz w:w="16838" w:h="11906" w:orient="landscape"/>
          <w:pgMar w:top="1134" w:right="567" w:bottom="851" w:left="992" w:header="709" w:footer="709" w:gutter="0"/>
          <w:pgNumType w:start="1"/>
          <w:cols w:space="720"/>
          <w:titlePg/>
          <w:docGrid w:linePitch="381"/>
        </w:sectPr>
      </w:pPr>
    </w:p>
    <w:tbl>
      <w:tblPr>
        <w:tblW w:w="15608" w:type="dxa"/>
        <w:tblInd w:w="93" w:type="dxa"/>
        <w:tblLook w:val="04A0"/>
      </w:tblPr>
      <w:tblGrid>
        <w:gridCol w:w="1197"/>
        <w:gridCol w:w="2620"/>
        <w:gridCol w:w="6546"/>
        <w:gridCol w:w="1559"/>
        <w:gridCol w:w="1641"/>
        <w:gridCol w:w="1620"/>
        <w:gridCol w:w="425"/>
      </w:tblGrid>
      <w:tr w:rsidR="005C0E3D" w:rsidRPr="00961E02" w:rsidTr="00E40249">
        <w:trPr>
          <w:gridAfter w:val="1"/>
          <w:wAfter w:w="425" w:type="dxa"/>
          <w:trHeight w:val="2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6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50 103,0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50 603,0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51 100,0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1 12 01010 01 0000 120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30 151,0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30 452,0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30 751,0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1 12 01030 01 0000 120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9 337,0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9 430,0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9 523,0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1 12 01041 01 0000 120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10 600,0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10 700,0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10 800,0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1 12 01042 01 0000 120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21,0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26,0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053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1 16 27000 01 0000 140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533A2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096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1 08 07130 01 0000 110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2 261 910,0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2 261 851,0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3 194 937,0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1 03 02142 01 0000 110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961E02">
              <w:rPr>
                <w:sz w:val="24"/>
                <w:szCs w:val="24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961E02">
              <w:rPr>
                <w:sz w:val="24"/>
                <w:szCs w:val="24"/>
              </w:rPr>
              <w:t>ректификованного</w:t>
            </w:r>
            <w:proofErr w:type="spellEnd"/>
            <w:r w:rsidRPr="00961E02"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424 908,0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233 404,0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233 404,0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1 03 02230 01 0000 110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31F59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723 328,0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31F59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795 082,0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31F59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1 160 820,0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1 03 02240 01 0000 110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1E02">
              <w:rPr>
                <w:sz w:val="24"/>
                <w:szCs w:val="24"/>
              </w:rPr>
              <w:t>инжекторных</w:t>
            </w:r>
            <w:proofErr w:type="spellEnd"/>
            <w:r w:rsidRPr="00961E02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31F59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7 397,0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31F59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7 841,0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31F59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11 448,0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1 03 02250 01 0000 110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31F59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1 247 176,0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1 374 873,0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2 007 315,0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1 03 02260 01 0000 110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3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-140 899,0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-149 349,0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-218 050,0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1 740,0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1 760,0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1 760,0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1 16 30012 01 0000 140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640,0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640,0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1 16 30020 01 0000 140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24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1 16 26000 01 0000 140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450,0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0C1244">
            <w:pPr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177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1 16 27000 01 0000 140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3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18 174 378,0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19 016 535,0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19 737 659,0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1 01 01012 02 0000 110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3 234 560,0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3 298 491,0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3 384 791,0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1 01 01014 02 0000 110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1 400 000,0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1 425 000,0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1 450 000,0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1 01 02010 01 0000 110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12F9C">
              <w:rPr>
                <w:sz w:val="24"/>
                <w:szCs w:val="24"/>
                <w:vertAlign w:val="superscript"/>
              </w:rPr>
              <w:t>1</w:t>
            </w:r>
            <w:r w:rsidRPr="00961E02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8 092 310,0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8 490 830,0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8 961 230,0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1 01 02020 01 0000 110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24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41 488,0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42 202,0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42 663,0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1 01 02030 01 0000 110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24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46 876,0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47 402,0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47 837,0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1 01 02040 01 0000 110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A12F9C">
              <w:rPr>
                <w:sz w:val="24"/>
                <w:szCs w:val="24"/>
                <w:vertAlign w:val="superscript"/>
              </w:rPr>
              <w:t>1</w:t>
            </w:r>
            <w:r w:rsidRPr="00961E0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42 433,0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44 550,0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46 776,0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1 03 02100 01 0000 110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 1 03 02110 01 0000 110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961E02">
              <w:rPr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 w:rsidRPr="00961E02">
              <w:rPr>
                <w:sz w:val="24"/>
                <w:szCs w:val="24"/>
              </w:rPr>
              <w:t>ректификован</w:t>
            </w:r>
            <w:r w:rsidR="00A12F9C">
              <w:rPr>
                <w:sz w:val="24"/>
                <w:szCs w:val="24"/>
              </w:rPr>
              <w:t>-</w:t>
            </w:r>
            <w:r w:rsidRPr="00961E02">
              <w:rPr>
                <w:sz w:val="24"/>
                <w:szCs w:val="24"/>
              </w:rPr>
              <w:t>ного</w:t>
            </w:r>
            <w:proofErr w:type="spellEnd"/>
            <w:r w:rsidRPr="00961E02">
              <w:rPr>
                <w:sz w:val="24"/>
                <w:szCs w:val="24"/>
              </w:rP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230 169,0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432 000,0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447 000,0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1 05 01011 01 0000 110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883 755,0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909 400,0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914 040,0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1 05 01021 01 0000 110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613 045,0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630 839,0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633 900,0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1 06 02010 02 0000 110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имущество организаций  по имуществу, не входящему в Единую систему газоснабжения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2 312 130,0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2 397 730,0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2 489 130,0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1 06 02020 02 0000 110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1 06 04011 02 0000 110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147 400,0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148 000,0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148 400,0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1 06 04012 02 0000 110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498 200,0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502 000,0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505 700,0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1 06 05000 02 0000 110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12F9C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12F9C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1 07 01020 01 0000 110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170 000,0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170 000,0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170 000,0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1 07 01030 01 0000 110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385 000,0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417 000,0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1 07 04010 01 0000 110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4 510,0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4 530,0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4 640,0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1 07 04020 01 0000 110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41 050,0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42 030,0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1 07 04030 01 0000 110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410,0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420,0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430,0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1 08 02020 01 0000 110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1 08 07010 01 0000 110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85,0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85,0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1 12 02030 01 0000 120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1 13 01020 01 8000 130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1 13 01060 01 0000 130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3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предоставление сведений, содержащихся в государственном адресном реестре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1 13 01190 01 0000 130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6E3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1 16 03020 02 6000 140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 129</w:t>
            </w:r>
            <w:r w:rsidRPr="00606631">
              <w:rPr>
                <w:sz w:val="24"/>
                <w:szCs w:val="24"/>
                <w:vertAlign w:val="superscript"/>
              </w:rPr>
              <w:t>2</w:t>
            </w:r>
            <w:r w:rsidRPr="00961E02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426E3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250 413,0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254 923,0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259 148,0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1 08 06000 01 0000 110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492,0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578,0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608,0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1 08 07100 01 0000 110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4 266,0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4 300,0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4 350,0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1 08 07141 01 0000 110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11 100,0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15 600,0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19 800,0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1 16 26000 01 0000 140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1 16 30012 01 0000 140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470,0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470,0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470,0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1 16 30020 01 0000 140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234 025,0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233 915,0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233 860,0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lastRenderedPageBreak/>
              <w:t>318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214,0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1 08 07110 01 0000 110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06631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06631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1 08 07120 01 0000 110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65</w:t>
            </w:r>
            <w:r>
              <w:rPr>
                <w:b/>
                <w:bCs/>
                <w:sz w:val="24"/>
                <w:szCs w:val="24"/>
              </w:rPr>
              <w:t> 851,0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66 294,0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67 118,0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321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1 08 07020 01 0000 110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65 851,0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66 294,0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67 118,0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501 673,4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125 875,5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104 973,7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346,2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300,0</w:t>
            </w:r>
          </w:p>
        </w:tc>
      </w:tr>
      <w:tr w:rsidR="005C0E3D" w:rsidRPr="00961E02" w:rsidTr="00E40249">
        <w:trPr>
          <w:gridAfter w:val="1"/>
          <w:wAfter w:w="425" w:type="dxa"/>
          <w:trHeight w:val="587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2 02 25382 02 0000 151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23 427,5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23 660,7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23 660,7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2 02 25402 02 0000 151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61E02">
              <w:rPr>
                <w:sz w:val="24"/>
                <w:szCs w:val="24"/>
              </w:rPr>
              <w:t>софинансирование</w:t>
            </w:r>
            <w:proofErr w:type="spellEnd"/>
            <w:r w:rsidRPr="00961E02"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5 416,0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5 416,0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5 416,0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lastRenderedPageBreak/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2 02 25554 02 0000 151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21 336,0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20 901,8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2 02 25674 02 0000 151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61E0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61E02">
              <w:rPr>
                <w:color w:val="000000"/>
                <w:sz w:val="24"/>
                <w:szCs w:val="24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69 403,3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2 02 35460 02 0000 151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961E02"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961E02"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183 397,5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2 02 45161 02 0000 151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88 603,9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67 677,0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67 677,0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2 02 49001 02 0000 151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101 523,0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7 920,0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7 920,0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7 920,0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185 254,0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328 519,1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1 08 07082 01 0000 110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</w:t>
            </w:r>
            <w:r w:rsidR="00C73EC6">
              <w:rPr>
                <w:sz w:val="24"/>
                <w:szCs w:val="24"/>
              </w:rPr>
              <w:t xml:space="preserve"> </w:t>
            </w:r>
            <w:r w:rsidRPr="00961E02">
              <w:rPr>
                <w:sz w:val="24"/>
                <w:szCs w:val="24"/>
              </w:rPr>
              <w:t xml:space="preserve">если такая аттестация предусмотрена </w:t>
            </w:r>
            <w:r w:rsidRPr="00961E02">
              <w:rPr>
                <w:sz w:val="24"/>
                <w:szCs w:val="24"/>
              </w:rPr>
              <w:lastRenderedPageBreak/>
              <w:t xml:space="preserve">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75,0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 1 08 07380 01 0000 110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165,0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165,0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 1 08 07390 01 0000 110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961E02">
              <w:rPr>
                <w:sz w:val="24"/>
                <w:szCs w:val="24"/>
              </w:rPr>
              <w:t>апостиля</w:t>
            </w:r>
            <w:proofErr w:type="spellEnd"/>
            <w:r w:rsidRPr="00961E02">
              <w:rPr>
                <w:sz w:val="24"/>
                <w:szCs w:val="24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2 02 25027 02 0000 151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9 095,8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2 02 25097 02 0000 151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23 421,6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2 02 25538 02 0000 151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повышение качества образования в школах с низкими </w:t>
            </w:r>
            <w:r w:rsidRPr="00961E02">
              <w:rPr>
                <w:sz w:val="24"/>
                <w:szCs w:val="24"/>
              </w:rPr>
              <w:lastRenderedPageBreak/>
              <w:t>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1 044,9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801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2 02 45159 02 0000 151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149 076,7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327 964,1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388 616,3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211 829,0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96 584,4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1 200,0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1 200,0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1 200,0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61E02">
              <w:rPr>
                <w:sz w:val="24"/>
                <w:szCs w:val="24"/>
              </w:rPr>
              <w:t>софинансирование</w:t>
            </w:r>
            <w:proofErr w:type="spellEnd"/>
            <w:r w:rsidRPr="00961E0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271 900,0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2 02 25467 02 0000 151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12 251,6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12 251,6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2 02 25509 02 0000 151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94 000,0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94 000,0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94 000,0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2 02 25517 02 0000 151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  <w:p w:rsidR="00ED4E72" w:rsidRPr="00961E02" w:rsidRDefault="00ED4E72" w:rsidP="00ED4E72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1 880,3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1 880,3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2 02 25519 02 0000 151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7 384,4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102 497,1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1 384,4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216 485,5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220 650,4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210 161,9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1 08 07142 01 0000 110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C73EC6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961E02"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</w:t>
            </w:r>
            <w:proofErr w:type="spellStart"/>
            <w:r w:rsidRPr="00961E02">
              <w:rPr>
                <w:sz w:val="24"/>
                <w:szCs w:val="24"/>
              </w:rPr>
              <w:t>государствен</w:t>
            </w:r>
            <w:r w:rsidR="00ED4E72">
              <w:rPr>
                <w:sz w:val="24"/>
                <w:szCs w:val="24"/>
              </w:rPr>
              <w:t>-</w:t>
            </w:r>
            <w:r w:rsidRPr="00961E02">
              <w:rPr>
                <w:sz w:val="24"/>
                <w:szCs w:val="24"/>
              </w:rPr>
              <w:t>ной</w:t>
            </w:r>
            <w:proofErr w:type="spellEnd"/>
            <w:r w:rsidRPr="00961E02">
              <w:rPr>
                <w:sz w:val="24"/>
                <w:szCs w:val="24"/>
              </w:rPr>
              <w:t xml:space="preserve"> регистрацией </w:t>
            </w:r>
            <w:proofErr w:type="spellStart"/>
            <w:r w:rsidRPr="00961E02">
              <w:rPr>
                <w:sz w:val="24"/>
                <w:szCs w:val="24"/>
              </w:rPr>
              <w:t>мототранспортных</w:t>
            </w:r>
            <w:proofErr w:type="spellEnd"/>
            <w:r w:rsidRPr="00961E02"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961E02"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7 800,0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7 800,0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C73EC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7 800,0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42586B">
            <w:pPr>
              <w:spacing w:after="120"/>
              <w:ind w:left="-156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  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3 566,8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2 02 25526 02 0000 151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961E02">
              <w:rPr>
                <w:sz w:val="24"/>
                <w:szCs w:val="24"/>
              </w:rPr>
              <w:t>аквакультуры</w:t>
            </w:r>
            <w:proofErr w:type="spellEnd"/>
            <w:r w:rsidRPr="00961E02">
              <w:rPr>
                <w:sz w:val="24"/>
                <w:szCs w:val="24"/>
              </w:rPr>
              <w:t xml:space="preserve"> (рыбоводство) и </w:t>
            </w:r>
            <w:proofErr w:type="gramStart"/>
            <w:r w:rsidRPr="00961E02">
              <w:rPr>
                <w:sz w:val="24"/>
                <w:szCs w:val="24"/>
              </w:rPr>
              <w:t>товарного</w:t>
            </w:r>
            <w:proofErr w:type="gramEnd"/>
            <w:r w:rsidRPr="00961E02">
              <w:rPr>
                <w:sz w:val="24"/>
                <w:szCs w:val="24"/>
              </w:rPr>
              <w:t xml:space="preserve"> </w:t>
            </w:r>
            <w:proofErr w:type="spellStart"/>
            <w:r w:rsidRPr="00961E02">
              <w:rPr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28 282,7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28 282,7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28 282,7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2 02 25541 02 0000 151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12 494,4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12 498,2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12 498,2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2 02 25542 02 0000 151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45 420,9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45 420,9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45 420,9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2 02 25543 02 0000 151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57 125,9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57 125,9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57 125,9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2 02 25544 02 0000 151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34 365,9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35 451,6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27 391,0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2 02 25567 02 0000 151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13 650,7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20 129,1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21 753,2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2 02 25568 02 0000 151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13 454,0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13 942,0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9 890,0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2 07 02030 02 0000 180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219,2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 xml:space="preserve">Министерство экономического развития и промышленности Республики Карелия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369 635,1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381 061,8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401 478,3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1 08 07082 01 0000 110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29 436,0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29 436,0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29 436,0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120"/>
              <w:ind w:left="-156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  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ED4E72" w:rsidRPr="00961E02" w:rsidRDefault="005C0E3D" w:rsidP="00996A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391,5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2 02 25028 02 0000 151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6 696,5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2 02 25066 02 0000 151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227,0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2 02 25086 02 0000 151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1 159,1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1 159,3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2 02 25527 02 0000 151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25 743,1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23 107,5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36 895,0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2 02 35290 02 0000 151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305 641,0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327 359,2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333 988,0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13 223</w:t>
            </w:r>
            <w:r>
              <w:rPr>
                <w:b/>
                <w:bCs/>
                <w:sz w:val="24"/>
                <w:szCs w:val="24"/>
              </w:rPr>
              <w:t> 212,4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5 497 064,1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5 675 889,1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1 11 03020 02 0000 120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 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1 16 18020 02 0000 140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961E02">
              <w:rPr>
                <w:sz w:val="24"/>
                <w:szCs w:val="24"/>
              </w:rPr>
              <w:lastRenderedPageBreak/>
              <w:t>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350,0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2 02 15001 02 0000 151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8 542 541,4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5 372 657,7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5 564 778,2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2 02 15002 02 0000 151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777 235,0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2 02 15009 02 0000 151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3 764 828,0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2 02 35118 02 0000 151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13 669,0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13 815,5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14 317,5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2 02 35120 02 0000 151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904,0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60,5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97,7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2 02 35900 02 0000 151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единая субвенция бюджетам субъектов Российской Федерации и бюджету </w:t>
            </w:r>
            <w:proofErr w:type="gramStart"/>
            <w:r w:rsidRPr="00961E02">
              <w:rPr>
                <w:sz w:val="24"/>
                <w:szCs w:val="24"/>
              </w:rPr>
              <w:t>г</w:t>
            </w:r>
            <w:proofErr w:type="gramEnd"/>
            <w:r w:rsidRPr="00961E02">
              <w:rPr>
                <w:sz w:val="24"/>
                <w:szCs w:val="24"/>
              </w:rPr>
              <w:t>. Байконура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105 462,4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94 170,4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80 335,7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220 939,2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165 581,1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117 583,5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1 11 01020 02 0000 120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15 000,0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1 11 05022 02 0000 120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961E0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</w:t>
            </w:r>
            <w:r w:rsidRPr="00961E02">
              <w:rPr>
                <w:sz w:val="24"/>
                <w:szCs w:val="24"/>
              </w:rPr>
              <w:lastRenderedPageBreak/>
              <w:t xml:space="preserve">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17 500,0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24 500,0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25 000,0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1 11 05032 02 0000 120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1 11 05072 02 0000 120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1 11 07012 02 0000 120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 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1 14 02023 02 0000 410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110 339,0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53 268,0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4 590,0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1 14 06022 02 0000 430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2 02 20051 02 0000 151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1 313,1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1 993,5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36,0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1 093 176,5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908 309,2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1 320 193,1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55 809,9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850,0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61E02">
              <w:rPr>
                <w:sz w:val="24"/>
                <w:szCs w:val="24"/>
              </w:rPr>
              <w:t>софинансирование</w:t>
            </w:r>
            <w:proofErr w:type="spellEnd"/>
            <w:r w:rsidRPr="00961E0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160 665,1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160 380,0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160 380,0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2 02 25497 02 0000 151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4 139,6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996A2E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2 02 25520 02 0000 151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ED4E72" w:rsidRPr="00961E02" w:rsidRDefault="005C0E3D" w:rsidP="00996A2E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613 339,8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996A2E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1 025 173,7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2 02 25555 02 0000 151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130 876,2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130 347,7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130 347,7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2 02 25560 02 0000 151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3 372,8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3 441,7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3 441,7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790 430,0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2 19 25419 02 0000 151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«Развитие Республики Карелия на период до 2020 года» из бюджетов субъектов Российской Федерации»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-52 917,1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55,3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1 16 02030 02 0000 140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46 999,1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2 02 20051 02 0000 151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46 999,1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lastRenderedPageBreak/>
              <w:t>816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10 594,7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1 830,0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1 830,0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1 830,0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1 830,0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1 830,0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8,7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2 02 45141 02 0000 151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6 100,0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2 656,0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Центральная избирательная комиссия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2 234,6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280,0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12,0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Default="005C0E3D" w:rsidP="00392866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  <w:p w:rsidR="00206968" w:rsidRPr="00961E02" w:rsidRDefault="00206968" w:rsidP="0039286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1 942,6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lastRenderedPageBreak/>
              <w:t>822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 xml:space="preserve">Управление Республики Карелия по обеспечению деятельности мировых судей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288,8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288,8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 xml:space="preserve">Министерство социальной защиты Республики Карелия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1 270 974,7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1 002 533,6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1 019 236,7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1 147,6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2 02 25027 02 0000 151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«Доступная среда» на 2011 </w:t>
            </w:r>
            <w:r w:rsidR="00392866">
              <w:rPr>
                <w:sz w:val="24"/>
                <w:szCs w:val="24"/>
              </w:rPr>
              <w:t>–</w:t>
            </w:r>
            <w:r w:rsidRPr="00961E02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18 667,4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2 02 25082 02 0000 151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34 456,1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35 912,3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37 348,8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2 02 25084 02 0000 151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184 238,2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6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2 02 25209 02 0000 151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61E02">
              <w:rPr>
                <w:sz w:val="24"/>
                <w:szCs w:val="24"/>
              </w:rPr>
              <w:t>софинансирование</w:t>
            </w:r>
            <w:proofErr w:type="spellEnd"/>
            <w:r w:rsidRPr="00961E02">
              <w:rPr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1 742,0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2 02 25462 02 0000 151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10 738,2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2 02 35134 02 0000 151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</w:t>
            </w:r>
            <w:r w:rsidR="00392866">
              <w:rPr>
                <w:color w:val="000000"/>
                <w:sz w:val="24"/>
                <w:szCs w:val="24"/>
              </w:rPr>
              <w:t>–</w:t>
            </w:r>
            <w:r w:rsidRPr="00961E02">
              <w:rPr>
                <w:color w:val="000000"/>
                <w:sz w:val="24"/>
                <w:szCs w:val="24"/>
              </w:rPr>
              <w:t xml:space="preserve"> 1945 годов»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7 570,4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2 02 35135 02 0000 151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</w:t>
            </w:r>
            <w:r>
              <w:rPr>
                <w:color w:val="000000"/>
                <w:sz w:val="24"/>
                <w:szCs w:val="24"/>
              </w:rPr>
              <w:t xml:space="preserve"> от 12 января 1995 года № 5-ФЗ «О ветеранах»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10 558,2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17 308,0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17 300,8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8 844,5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9 970,4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10 369,2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2 02 35176 02 0000 151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61E02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4 887,8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8 025,0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8 028,0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2 02 35220 02 0000 151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3928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84 521,9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87 223,5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392866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90 716,4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2 02 35240 02 0000 151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961E02">
              <w:rPr>
                <w:color w:val="000000"/>
                <w:sz w:val="24"/>
                <w:szCs w:val="24"/>
              </w:rPr>
              <w:t>поствакцинальных</w:t>
            </w:r>
            <w:proofErr w:type="spellEnd"/>
            <w:r w:rsidRPr="00961E02">
              <w:rPr>
                <w:color w:val="000000"/>
                <w:sz w:val="24"/>
                <w:szCs w:val="24"/>
              </w:rPr>
              <w:t xml:space="preserve"> осложнений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71,0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73,6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76,0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2 02 35250 02 0000 151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546 442,5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557 473,3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557 441,7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2 02 35260 02 0000 151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4 019,8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3 932,7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4 089,6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2 02 35270 02 0000 151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7 039,9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7 564,4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7 866,9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2 02 35280 02 0000 151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116,9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137,2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89,5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2 02 35380 02 0000 151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264 504,5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274 913,2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285 909,8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2 02 35573 02 0000 151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  <w:p w:rsidR="00AC5E05" w:rsidRDefault="00AC5E05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AC5E05" w:rsidRPr="00961E02" w:rsidRDefault="00AC5E05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81 407,8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 xml:space="preserve">Министерство  природных ресурсов и экологии Республики Карелия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1 256 515,5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1 248 186,9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1 263 164,6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435,0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495,0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510,0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1 08 07262 01 0000 110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84,0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81,0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77,0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1 08 07282 01 0000 110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1 12 02012 01 0000 120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4 100,0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4 100,0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1 12 02052 01 0000 120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63422E" w:rsidRPr="00961E02" w:rsidRDefault="005C0E3D" w:rsidP="00206968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1 12 02102 02 0000 120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  <w:p w:rsidR="00AC5E05" w:rsidRPr="00961E02" w:rsidRDefault="00AC5E05" w:rsidP="0063422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1 12 04013 02 0000 120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60 800,0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15 750,0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16 400,0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1 12 04014 02 0000 120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511 258,0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530 126,0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551 300,0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1 12 04015 02 0000 120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17 000,0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17 700,0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18 400,0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1 13 01410 01 0000 130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плата за предоставление государственными органами субъектов Российской Федерации. Казенными учреждениями субъектов Российской Федерации,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256,8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1 16 23021 02 0000 140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C5E05">
            <w:pPr>
              <w:spacing w:after="6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61E02">
              <w:rPr>
                <w:sz w:val="24"/>
                <w:szCs w:val="24"/>
              </w:rPr>
              <w:t>выгодоприобре</w:t>
            </w:r>
            <w:r w:rsidR="00AC5E05">
              <w:rPr>
                <w:sz w:val="24"/>
                <w:szCs w:val="24"/>
              </w:rPr>
              <w:t>-</w:t>
            </w:r>
            <w:r w:rsidRPr="00961E02">
              <w:rPr>
                <w:sz w:val="24"/>
                <w:szCs w:val="24"/>
              </w:rPr>
              <w:t>тателями</w:t>
            </w:r>
            <w:proofErr w:type="spellEnd"/>
            <w:r w:rsidRPr="00961E02">
              <w:rPr>
                <w:sz w:val="24"/>
                <w:szCs w:val="24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C5E05">
            <w:pPr>
              <w:spacing w:after="6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5,0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1 16 25086 02 0000 140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150,0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150,0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150,0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2 02 20051 02 0000 151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4 603,0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3 102,1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2 02 35128 02 0000 151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7 750,5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7 750,5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7 750,5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2 02 35129 02 0000 151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650 316,2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664 026,4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657 970,0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5 252,2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26 771,2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27 707,6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1 08 07172 01 0000 110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1 052,2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63422E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1 15 02020 02 0000 140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4D14AE" w:rsidRPr="00961E02" w:rsidRDefault="005C0E3D" w:rsidP="00AC5E05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1 200,0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1 200,0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63422E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1 200,0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1 16 37020 02 0000 140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1 500,0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61E02"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961E02">
              <w:rPr>
                <w:sz w:val="24"/>
                <w:szCs w:val="24"/>
              </w:rPr>
              <w:t>софинансирование</w:t>
            </w:r>
            <w:proofErr w:type="spellEnd"/>
            <w:r w:rsidRPr="00961E0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22 571,2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23 507,6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Государственный комитет Республики Карелия по строительному,  жилищному и дорожному надзору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828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1 08 07400 01 0000 110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140,8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0,8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1 16 18020 02 0000 140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140,0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140,0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140,0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13 479,9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14 033,6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14 032,6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AF593F">
            <w:pPr>
              <w:spacing w:after="120"/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2 02 25515 02 0000 151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Default="005C0E3D" w:rsidP="00AF593F">
            <w:pPr>
              <w:spacing w:after="120"/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  <w:p w:rsidR="004D14AE" w:rsidRPr="00961E02" w:rsidRDefault="004D14AE" w:rsidP="00AF593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2 657,5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2 766,7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AF593F">
            <w:pPr>
              <w:spacing w:after="120"/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2 766,5</w:t>
            </w:r>
          </w:p>
        </w:tc>
      </w:tr>
      <w:tr w:rsidR="005C0E3D" w:rsidRPr="00961E02" w:rsidTr="00E40249">
        <w:trPr>
          <w:gridAfter w:val="1"/>
          <w:wAfter w:w="425" w:type="dxa"/>
          <w:trHeight w:val="20"/>
        </w:trPr>
        <w:tc>
          <w:tcPr>
            <w:tcW w:w="1197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lastRenderedPageBreak/>
              <w:t>833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center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2 02 25516 02 0000 151</w:t>
            </w:r>
          </w:p>
        </w:tc>
        <w:tc>
          <w:tcPr>
            <w:tcW w:w="6546" w:type="dxa"/>
            <w:tcBorders>
              <w:top w:val="nil"/>
            </w:tcBorders>
            <w:shd w:val="clear" w:color="auto" w:fill="auto"/>
            <w:hideMark/>
          </w:tcPr>
          <w:p w:rsidR="005C0E3D" w:rsidRPr="00961E02" w:rsidRDefault="005C0E3D" w:rsidP="00ED4E72">
            <w:pPr>
              <w:jc w:val="both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10 822,4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11 266,9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5C0E3D" w:rsidRPr="00961E02" w:rsidRDefault="005C0E3D" w:rsidP="00ED4E72">
            <w:pPr>
              <w:jc w:val="right"/>
              <w:rPr>
                <w:sz w:val="24"/>
                <w:szCs w:val="24"/>
              </w:rPr>
            </w:pPr>
            <w:r w:rsidRPr="00961E02">
              <w:rPr>
                <w:sz w:val="24"/>
                <w:szCs w:val="24"/>
              </w:rPr>
              <w:t>11 266,1</w:t>
            </w:r>
          </w:p>
        </w:tc>
      </w:tr>
      <w:tr w:rsidR="0042586B" w:rsidRPr="00961E02" w:rsidTr="00E40249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  <w:vAlign w:val="bottom"/>
            <w:hideMark/>
          </w:tcPr>
          <w:p w:rsidR="0042586B" w:rsidRPr="00961E02" w:rsidRDefault="0042586B" w:rsidP="00ED4E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1E0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2586B" w:rsidRPr="00961E02" w:rsidRDefault="0042586B" w:rsidP="00E40249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39 612 335,0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42586B" w:rsidRPr="00961E02" w:rsidRDefault="0042586B" w:rsidP="00E402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31 787 </w:t>
            </w:r>
            <w:r w:rsidRPr="00961E02">
              <w:rPr>
                <w:b/>
                <w:bCs/>
                <w:sz w:val="24"/>
                <w:szCs w:val="24"/>
              </w:rPr>
              <w:t>141,5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42586B" w:rsidRPr="00961E02" w:rsidRDefault="0042586B" w:rsidP="00E40249">
            <w:pPr>
              <w:jc w:val="right"/>
              <w:rPr>
                <w:b/>
                <w:bCs/>
                <w:sz w:val="24"/>
                <w:szCs w:val="24"/>
              </w:rPr>
            </w:pPr>
            <w:r w:rsidRPr="00961E02">
              <w:rPr>
                <w:b/>
                <w:bCs/>
                <w:sz w:val="24"/>
                <w:szCs w:val="24"/>
              </w:rPr>
              <w:t>33 568 031,5</w:t>
            </w:r>
          </w:p>
        </w:tc>
        <w:tc>
          <w:tcPr>
            <w:tcW w:w="425" w:type="dxa"/>
            <w:shd w:val="clear" w:color="auto" w:fill="auto"/>
          </w:tcPr>
          <w:p w:rsidR="0042586B" w:rsidRPr="00961E02" w:rsidRDefault="0042586B" w:rsidP="00E40249">
            <w:pPr>
              <w:jc w:val="center"/>
              <w:rPr>
                <w:b/>
                <w:bCs/>
                <w:sz w:val="24"/>
                <w:szCs w:val="24"/>
              </w:rPr>
            </w:pPr>
            <w:r w:rsidRPr="00AF593F">
              <w:rPr>
                <w:bCs/>
                <w:sz w:val="24"/>
                <w:szCs w:val="24"/>
              </w:rPr>
              <w:t>».</w:t>
            </w:r>
          </w:p>
        </w:tc>
      </w:tr>
    </w:tbl>
    <w:p w:rsidR="005C0E3D" w:rsidRPr="00B65FDC" w:rsidRDefault="005C0E3D" w:rsidP="005C0E3D">
      <w:pPr>
        <w:jc w:val="center"/>
        <w:rPr>
          <w:color w:val="000000"/>
          <w:sz w:val="24"/>
          <w:szCs w:val="24"/>
        </w:rPr>
        <w:sectPr w:rsidR="005C0E3D" w:rsidRPr="00B65FDC" w:rsidSect="00CF5A40">
          <w:headerReference w:type="default" r:id="rId14"/>
          <w:footerReference w:type="default" r:id="rId15"/>
          <w:type w:val="continuous"/>
          <w:pgSz w:w="16838" w:h="11906" w:orient="landscape"/>
          <w:pgMar w:top="1134" w:right="567" w:bottom="851" w:left="992" w:header="709" w:footer="709" w:gutter="0"/>
          <w:pgNumType w:start="2"/>
          <w:cols w:space="720"/>
          <w:titlePg/>
          <w:docGrid w:linePitch="381"/>
        </w:sectPr>
      </w:pPr>
    </w:p>
    <w:p w:rsidR="005C0E3D" w:rsidRDefault="005C0E3D" w:rsidP="005C0E3D">
      <w:pPr>
        <w:jc w:val="center"/>
        <w:rPr>
          <w:color w:val="000000"/>
          <w:sz w:val="24"/>
          <w:szCs w:val="24"/>
        </w:rPr>
      </w:pPr>
    </w:p>
    <w:p w:rsidR="004D14AE" w:rsidRDefault="004D14AE" w:rsidP="005C0E3D">
      <w:pPr>
        <w:jc w:val="center"/>
        <w:rPr>
          <w:color w:val="000000"/>
          <w:sz w:val="24"/>
          <w:szCs w:val="24"/>
        </w:rPr>
      </w:pPr>
    </w:p>
    <w:p w:rsidR="004D14AE" w:rsidRDefault="004D14AE" w:rsidP="005C0E3D">
      <w:pPr>
        <w:jc w:val="center"/>
        <w:rPr>
          <w:color w:val="000000"/>
          <w:sz w:val="24"/>
          <w:szCs w:val="24"/>
        </w:rPr>
      </w:pPr>
    </w:p>
    <w:p w:rsidR="004D14AE" w:rsidRDefault="004D14AE" w:rsidP="005C0E3D">
      <w:pPr>
        <w:jc w:val="center"/>
        <w:rPr>
          <w:color w:val="000000"/>
          <w:sz w:val="24"/>
          <w:szCs w:val="24"/>
        </w:rPr>
      </w:pPr>
    </w:p>
    <w:p w:rsidR="004D14AE" w:rsidRDefault="004D14AE" w:rsidP="005C0E3D">
      <w:pPr>
        <w:jc w:val="center"/>
        <w:rPr>
          <w:color w:val="000000"/>
          <w:sz w:val="24"/>
          <w:szCs w:val="24"/>
        </w:rPr>
      </w:pPr>
    </w:p>
    <w:p w:rsidR="004D14AE" w:rsidRDefault="004D14AE" w:rsidP="005C0E3D">
      <w:pPr>
        <w:jc w:val="center"/>
        <w:rPr>
          <w:color w:val="000000"/>
          <w:sz w:val="24"/>
          <w:szCs w:val="24"/>
        </w:rPr>
      </w:pPr>
    </w:p>
    <w:p w:rsidR="004D14AE" w:rsidRPr="001C2FFF" w:rsidRDefault="004D14AE" w:rsidP="004D14AE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</w:t>
      </w:r>
      <w:r w:rsidRPr="00812E30">
        <w:rPr>
          <w:sz w:val="27"/>
          <w:szCs w:val="27"/>
        </w:rPr>
        <w:t xml:space="preserve">   </w:t>
      </w:r>
      <w:r w:rsidRPr="001C2FFF">
        <w:rPr>
          <w:sz w:val="28"/>
          <w:szCs w:val="28"/>
        </w:rPr>
        <w:t xml:space="preserve">Глава </w:t>
      </w:r>
    </w:p>
    <w:p w:rsidR="004D14AE" w:rsidRPr="001C2FFF" w:rsidRDefault="004D14AE" w:rsidP="004D14AE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C2FFF">
        <w:rPr>
          <w:sz w:val="28"/>
          <w:szCs w:val="28"/>
        </w:rPr>
        <w:t xml:space="preserve">Республики Карелия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1C2FFF">
        <w:rPr>
          <w:sz w:val="28"/>
          <w:szCs w:val="28"/>
        </w:rPr>
        <w:t xml:space="preserve"> А.О. </w:t>
      </w:r>
      <w:proofErr w:type="spellStart"/>
      <w:r w:rsidRPr="001C2FFF">
        <w:rPr>
          <w:sz w:val="28"/>
          <w:szCs w:val="28"/>
        </w:rPr>
        <w:t>Парфенчиков</w:t>
      </w:r>
      <w:proofErr w:type="spellEnd"/>
    </w:p>
    <w:p w:rsidR="004D14AE" w:rsidRDefault="004D14AE" w:rsidP="005C0E3D">
      <w:pPr>
        <w:jc w:val="center"/>
        <w:rPr>
          <w:color w:val="000000"/>
          <w:sz w:val="24"/>
          <w:szCs w:val="24"/>
        </w:rPr>
      </w:pPr>
    </w:p>
    <w:p w:rsidR="008E5686" w:rsidRDefault="008E5686" w:rsidP="005C0E3D">
      <w:pPr>
        <w:jc w:val="center"/>
        <w:rPr>
          <w:color w:val="000000"/>
          <w:sz w:val="24"/>
          <w:szCs w:val="24"/>
        </w:rPr>
      </w:pPr>
    </w:p>
    <w:p w:rsidR="008E5686" w:rsidRDefault="008E5686" w:rsidP="005C0E3D">
      <w:pPr>
        <w:jc w:val="center"/>
        <w:rPr>
          <w:color w:val="000000"/>
          <w:sz w:val="24"/>
          <w:szCs w:val="24"/>
        </w:rPr>
      </w:pPr>
    </w:p>
    <w:p w:rsidR="008E5686" w:rsidRDefault="008E5686" w:rsidP="005C0E3D">
      <w:pPr>
        <w:jc w:val="center"/>
        <w:rPr>
          <w:color w:val="000000"/>
          <w:sz w:val="24"/>
          <w:szCs w:val="24"/>
        </w:rPr>
      </w:pPr>
    </w:p>
    <w:p w:rsidR="008E5686" w:rsidRPr="00B65FDC" w:rsidRDefault="008E5686" w:rsidP="005C0E3D">
      <w:pPr>
        <w:jc w:val="center"/>
        <w:rPr>
          <w:color w:val="000000"/>
          <w:sz w:val="24"/>
          <w:szCs w:val="24"/>
        </w:rPr>
        <w:sectPr w:rsidR="008E5686" w:rsidRPr="00B65FDC" w:rsidSect="005C0E3D">
          <w:type w:val="continuous"/>
          <w:pgSz w:w="16838" w:h="11906" w:orient="landscape"/>
          <w:pgMar w:top="1134" w:right="567" w:bottom="851" w:left="992" w:header="709" w:footer="709" w:gutter="0"/>
          <w:pgNumType w:start="1"/>
          <w:cols w:space="720"/>
          <w:titlePg/>
          <w:docGrid w:linePitch="381"/>
        </w:sectPr>
      </w:pPr>
    </w:p>
    <w:p w:rsidR="00986015" w:rsidRPr="00B65FDC" w:rsidRDefault="00986015" w:rsidP="00986015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675C22" w:rsidRPr="001C2FFF" w:rsidRDefault="008507AF" w:rsidP="004D14AE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986015">
      <w:pgSz w:w="16838" w:h="11906" w:orient="landscape"/>
      <w:pgMar w:top="1701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AE" w:rsidRDefault="004D14AE">
      <w:r>
        <w:separator/>
      </w:r>
    </w:p>
  </w:endnote>
  <w:endnote w:type="continuationSeparator" w:id="0">
    <w:p w:rsidR="004D14AE" w:rsidRDefault="004D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AE" w:rsidRDefault="0036600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14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4AE" w:rsidRDefault="004D14A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AE" w:rsidRDefault="004D14AE" w:rsidP="008B478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AE" w:rsidRDefault="004D14AE">
    <w:pPr>
      <w:pStyle w:val="ad"/>
      <w:jc w:val="right"/>
    </w:pPr>
  </w:p>
  <w:p w:rsidR="004D14AE" w:rsidRDefault="004D14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AE" w:rsidRDefault="004D14AE">
      <w:r>
        <w:separator/>
      </w:r>
    </w:p>
  </w:footnote>
  <w:footnote w:type="continuationSeparator" w:id="0">
    <w:p w:rsidR="004D14AE" w:rsidRDefault="004D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AE" w:rsidRDefault="004D14AE" w:rsidP="008A7FAA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692736"/>
      <w:docPartObj>
        <w:docPartGallery w:val="Page Numbers (Top of Page)"/>
        <w:docPartUnique/>
      </w:docPartObj>
    </w:sdtPr>
    <w:sdtContent>
      <w:p w:rsidR="00C21EA6" w:rsidRDefault="0036600B">
        <w:pPr>
          <w:pStyle w:val="a6"/>
          <w:jc w:val="center"/>
        </w:pPr>
        <w:fldSimple w:instr=" PAGE   \* MERGEFORMAT ">
          <w:r w:rsidR="009307EC">
            <w:rPr>
              <w:noProof/>
            </w:rPr>
            <w:t>1</w:t>
          </w:r>
        </w:fldSimple>
      </w:p>
    </w:sdtContent>
  </w:sdt>
  <w:p w:rsidR="008A7FAA" w:rsidRDefault="008A7F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0E" w:rsidRDefault="00CF5A40" w:rsidP="008A7FAA">
    <w:pPr>
      <w:pStyle w:val="a6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73" w:rsidRDefault="0036600B">
    <w:pPr>
      <w:pStyle w:val="a6"/>
      <w:jc w:val="center"/>
    </w:pPr>
    <w:fldSimple w:instr=" PAGE   \* MERGEFORMAT ">
      <w:r w:rsidR="009307EC">
        <w:rPr>
          <w:noProof/>
        </w:rPr>
        <w:t>3</w:t>
      </w:r>
    </w:fldSimple>
    <w:sdt>
      <w:sdtPr>
        <w:id w:val="19594943"/>
        <w:docPartObj>
          <w:docPartGallery w:val="Page Numbers (Top of Page)"/>
          <w:docPartUnique/>
        </w:docPartObj>
      </w:sdtPr>
      <w:sdtContent/>
    </w:sdt>
  </w:p>
  <w:p w:rsidR="008A7FAA" w:rsidRDefault="008A7FAA" w:rsidP="008A7FA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22772"/>
    <w:multiLevelType w:val="hybridMultilevel"/>
    <w:tmpl w:val="B2C6E82C"/>
    <w:lvl w:ilvl="0" w:tplc="63262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3DAE7D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F805C1"/>
    <w:multiLevelType w:val="hybridMultilevel"/>
    <w:tmpl w:val="C3DE9AFE"/>
    <w:lvl w:ilvl="0" w:tplc="AA2CEA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2"/>
  </w:num>
  <w:num w:numId="15">
    <w:abstractNumId w:val="15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52B"/>
    <w:rsid w:val="000226D3"/>
    <w:rsid w:val="00026F9C"/>
    <w:rsid w:val="00040CD5"/>
    <w:rsid w:val="000443B0"/>
    <w:rsid w:val="000501B1"/>
    <w:rsid w:val="00053AA9"/>
    <w:rsid w:val="000549AE"/>
    <w:rsid w:val="00054F42"/>
    <w:rsid w:val="0005780E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1244"/>
    <w:rsid w:val="000C4F37"/>
    <w:rsid w:val="000C5A6B"/>
    <w:rsid w:val="000C7001"/>
    <w:rsid w:val="000E04F4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2048"/>
    <w:rsid w:val="001548E7"/>
    <w:rsid w:val="0016215E"/>
    <w:rsid w:val="0016314E"/>
    <w:rsid w:val="0016721D"/>
    <w:rsid w:val="0017074C"/>
    <w:rsid w:val="001723CE"/>
    <w:rsid w:val="00183424"/>
    <w:rsid w:val="00184065"/>
    <w:rsid w:val="00186D86"/>
    <w:rsid w:val="001A4A62"/>
    <w:rsid w:val="001A590B"/>
    <w:rsid w:val="001A7614"/>
    <w:rsid w:val="001B050B"/>
    <w:rsid w:val="001B5375"/>
    <w:rsid w:val="001C28E5"/>
    <w:rsid w:val="001C2FFF"/>
    <w:rsid w:val="001C5182"/>
    <w:rsid w:val="001C5BFC"/>
    <w:rsid w:val="001D7E9E"/>
    <w:rsid w:val="001E1138"/>
    <w:rsid w:val="001E476D"/>
    <w:rsid w:val="001F6616"/>
    <w:rsid w:val="001F67B7"/>
    <w:rsid w:val="00206968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6600B"/>
    <w:rsid w:val="00375A6A"/>
    <w:rsid w:val="003874B1"/>
    <w:rsid w:val="00392866"/>
    <w:rsid w:val="003B39E8"/>
    <w:rsid w:val="003C292B"/>
    <w:rsid w:val="003C7743"/>
    <w:rsid w:val="003D1E63"/>
    <w:rsid w:val="003D5069"/>
    <w:rsid w:val="003D55FA"/>
    <w:rsid w:val="003D5732"/>
    <w:rsid w:val="003E01BF"/>
    <w:rsid w:val="003E241D"/>
    <w:rsid w:val="003E4B11"/>
    <w:rsid w:val="003F096F"/>
    <w:rsid w:val="003F1D8A"/>
    <w:rsid w:val="003F3D75"/>
    <w:rsid w:val="00401942"/>
    <w:rsid w:val="004033E0"/>
    <w:rsid w:val="004213F1"/>
    <w:rsid w:val="00423611"/>
    <w:rsid w:val="0042586B"/>
    <w:rsid w:val="00426E3E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14AE"/>
    <w:rsid w:val="004D57A0"/>
    <w:rsid w:val="004F5BD2"/>
    <w:rsid w:val="00503BDE"/>
    <w:rsid w:val="00522AB3"/>
    <w:rsid w:val="00527117"/>
    <w:rsid w:val="00533A2C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0E3D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6631"/>
    <w:rsid w:val="006079AF"/>
    <w:rsid w:val="006125D3"/>
    <w:rsid w:val="006173AF"/>
    <w:rsid w:val="0062033A"/>
    <w:rsid w:val="006209B3"/>
    <w:rsid w:val="00626DC7"/>
    <w:rsid w:val="0063422E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12B8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E4601"/>
    <w:rsid w:val="007F0E3C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7FAA"/>
    <w:rsid w:val="008B45E9"/>
    <w:rsid w:val="008B478F"/>
    <w:rsid w:val="008C4C8D"/>
    <w:rsid w:val="008C6352"/>
    <w:rsid w:val="008C7632"/>
    <w:rsid w:val="008C7E7F"/>
    <w:rsid w:val="008D5EBA"/>
    <w:rsid w:val="008E454A"/>
    <w:rsid w:val="008E4D37"/>
    <w:rsid w:val="008E5686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07EC"/>
    <w:rsid w:val="00931F59"/>
    <w:rsid w:val="009321F6"/>
    <w:rsid w:val="009368D0"/>
    <w:rsid w:val="009847AF"/>
    <w:rsid w:val="00985F7C"/>
    <w:rsid w:val="00986015"/>
    <w:rsid w:val="0098694D"/>
    <w:rsid w:val="00994AB9"/>
    <w:rsid w:val="00996A2E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2D6D"/>
    <w:rsid w:val="00A12F9C"/>
    <w:rsid w:val="00A23B0D"/>
    <w:rsid w:val="00A30202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5E05"/>
    <w:rsid w:val="00AD3084"/>
    <w:rsid w:val="00AD410E"/>
    <w:rsid w:val="00AD4614"/>
    <w:rsid w:val="00AD5619"/>
    <w:rsid w:val="00AD6A82"/>
    <w:rsid w:val="00AD6EAE"/>
    <w:rsid w:val="00AE064A"/>
    <w:rsid w:val="00AE6D57"/>
    <w:rsid w:val="00AE7CC2"/>
    <w:rsid w:val="00AF13F3"/>
    <w:rsid w:val="00AF4D3F"/>
    <w:rsid w:val="00AF59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46AF"/>
    <w:rsid w:val="00B335FF"/>
    <w:rsid w:val="00B35129"/>
    <w:rsid w:val="00B538F7"/>
    <w:rsid w:val="00B77074"/>
    <w:rsid w:val="00B80073"/>
    <w:rsid w:val="00B81E57"/>
    <w:rsid w:val="00B86192"/>
    <w:rsid w:val="00B969EF"/>
    <w:rsid w:val="00B97235"/>
    <w:rsid w:val="00BA5977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1EA6"/>
    <w:rsid w:val="00C367F2"/>
    <w:rsid w:val="00C37F9F"/>
    <w:rsid w:val="00C52675"/>
    <w:rsid w:val="00C54A0B"/>
    <w:rsid w:val="00C55070"/>
    <w:rsid w:val="00C632F9"/>
    <w:rsid w:val="00C64E98"/>
    <w:rsid w:val="00C73EC6"/>
    <w:rsid w:val="00C77F8D"/>
    <w:rsid w:val="00C8590E"/>
    <w:rsid w:val="00C90B3A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A40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988"/>
    <w:rsid w:val="00DC3FB6"/>
    <w:rsid w:val="00DC53EA"/>
    <w:rsid w:val="00DC5D71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0249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4E72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нак1 Знак Знак Знак1"/>
    <w:basedOn w:val="a"/>
    <w:rsid w:val="005C0E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5">
    <w:name w:val="FollowedHyperlink"/>
    <w:basedOn w:val="a0"/>
    <w:uiPriority w:val="99"/>
    <w:semiHidden/>
    <w:unhideWhenUsed/>
    <w:rsid w:val="005C0E3D"/>
    <w:rPr>
      <w:color w:val="800080"/>
      <w:u w:val="single"/>
    </w:rPr>
  </w:style>
  <w:style w:type="paragraph" w:customStyle="1" w:styleId="xl81">
    <w:name w:val="xl81"/>
    <w:basedOn w:val="a"/>
    <w:rsid w:val="005C0E3D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5C0E3D"/>
    <w:pPr>
      <w:spacing w:before="100" w:beforeAutospacing="1" w:after="100" w:afterAutospacing="1"/>
      <w:ind w:firstLineChars="2100" w:firstLine="2100"/>
    </w:pPr>
    <w:rPr>
      <w:sz w:val="24"/>
      <w:szCs w:val="24"/>
    </w:rPr>
  </w:style>
  <w:style w:type="paragraph" w:customStyle="1" w:styleId="xl83">
    <w:name w:val="xl83"/>
    <w:basedOn w:val="a"/>
    <w:rsid w:val="005C0E3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C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5C0E3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C0E3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C0E3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5C0E3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C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5C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5C0E3D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C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C0E3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C0E3D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C0E3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C0E3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C0E3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5C0E3D"/>
    <w:pP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5C0E3D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5C0E3D"/>
    <w:pP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5C0E3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5C0E3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C0E3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5C0E3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E3D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5C0E3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E3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C0E3D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C0E3D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C0E3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C0E3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5C0E3D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C0E3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C0E3D"/>
    <w:pP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5C0E3D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C0E3D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C0E3D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5C0E3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C0E3D"/>
    <w:pP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0">
    <w:name w:val="xl120"/>
    <w:basedOn w:val="a"/>
    <w:rsid w:val="005C0E3D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1">
    <w:name w:val="xl121"/>
    <w:basedOn w:val="a"/>
    <w:rsid w:val="005C0E3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5C0E3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rsid w:val="005C0E3D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Iauiue">
    <w:name w:val="Iau?iue"/>
    <w:rsid w:val="005C0E3D"/>
    <w:rPr>
      <w:lang w:val="en-US"/>
    </w:rPr>
  </w:style>
  <w:style w:type="paragraph" w:customStyle="1" w:styleId="xl79">
    <w:name w:val="xl79"/>
    <w:basedOn w:val="a"/>
    <w:rsid w:val="005C0E3D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5C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09A2-6000-476C-94D3-8B4B8D38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29</Pages>
  <Words>6256</Words>
  <Characters>39476</Characters>
  <Application>Microsoft Office Word</Application>
  <DocSecurity>0</DocSecurity>
  <Lines>328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40</cp:revision>
  <cp:lastPrinted>2018-07-30T09:48:00Z</cp:lastPrinted>
  <dcterms:created xsi:type="dcterms:W3CDTF">2018-07-24T07:13:00Z</dcterms:created>
  <dcterms:modified xsi:type="dcterms:W3CDTF">2018-07-30T09:48:00Z</dcterms:modified>
</cp:coreProperties>
</file>