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23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23C3">
        <w:t>25 сентября 2018 года № 611р-П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C33DC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C33DC">
        <w:rPr>
          <w:szCs w:val="28"/>
        </w:rPr>
        <w:t>Внести в приоритетные направления экономики Республики Карелия для предоставления государственной поддержки инвестиционной деятельности, утвержденные распоряжением Правительства Республики Карелия от 24 июля 2013 года № 505р-П (Собрание законодательства Республики Карелия, 2013, № 7, ст. 1354; 2017, № 8, ст. 1590), изменение, дополнив их пунктом 16 следующего содержания:</w:t>
      </w:r>
    </w:p>
    <w:p w:rsidR="000F4269" w:rsidRDefault="000C33DC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«16. Резка, обработка и отделка камня».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75B2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75B2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33DC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23C3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07EF"/>
    <w:rsid w:val="00A719E4"/>
    <w:rsid w:val="00A75952"/>
    <w:rsid w:val="00A75B28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DA8A-B571-4E04-8BCF-876D648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2018-09-25T13:12:00Z</cp:lastPrinted>
  <dcterms:created xsi:type="dcterms:W3CDTF">2018-09-24T12:51:00Z</dcterms:created>
  <dcterms:modified xsi:type="dcterms:W3CDTF">2018-09-25T13:12:00Z</dcterms:modified>
</cp:coreProperties>
</file>