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345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3453">
        <w:t>31 июля 2019 года № 547р-П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C418D2" w:rsidRDefault="00C418D2" w:rsidP="00C418D2">
      <w:pPr>
        <w:ind w:right="140" w:firstLine="709"/>
        <w:jc w:val="both"/>
      </w:pPr>
      <w:bookmarkStart w:id="0" w:name="P28"/>
      <w:bookmarkEnd w:id="0"/>
      <w:r>
        <w:t xml:space="preserve">Внести в структуру Министерства экономического развития и промышленности Республики Карелия, утвержденную распоряжением Правительства Республики Карелия от 17 декабря 2018 года № 801р-П, </w:t>
      </w:r>
      <w:r>
        <w:br/>
        <w:t xml:space="preserve">с изменениями, внесенными распоряжениями Правительства Республики Карелия от 18 января 2019 года № 17р-П, от 25 февраля 2019 года </w:t>
      </w:r>
      <w:r>
        <w:br/>
        <w:t>№ 152р-П, изменение, изложив ее в следующей редакции:</w:t>
      </w:r>
    </w:p>
    <w:p w:rsidR="00C418D2" w:rsidRDefault="00C418D2" w:rsidP="00C418D2">
      <w:pPr>
        <w:ind w:firstLine="4536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распоряжением</w:t>
      </w:r>
    </w:p>
    <w:p w:rsidR="00C418D2" w:rsidRDefault="00C418D2" w:rsidP="00C418D2">
      <w:pPr>
        <w:rPr>
          <w:szCs w:val="28"/>
        </w:rPr>
      </w:pPr>
      <w:r>
        <w:rPr>
          <w:szCs w:val="28"/>
        </w:rPr>
        <w:t xml:space="preserve">                                                                 Правительства Республики Карелия                          </w:t>
      </w:r>
    </w:p>
    <w:p w:rsidR="00C418D2" w:rsidRDefault="00C418D2" w:rsidP="00C418D2">
      <w:pPr>
        <w:rPr>
          <w:szCs w:val="28"/>
        </w:rPr>
      </w:pPr>
      <w:r>
        <w:rPr>
          <w:szCs w:val="28"/>
        </w:rPr>
        <w:t xml:space="preserve">                                                                 от  </w:t>
      </w:r>
      <w:bookmarkStart w:id="1" w:name="_GoBack"/>
      <w:bookmarkEnd w:id="1"/>
      <w:r>
        <w:rPr>
          <w:szCs w:val="28"/>
        </w:rPr>
        <w:t>17 декабря 2018 года № 801р-П</w:t>
      </w:r>
    </w:p>
    <w:p w:rsidR="00C418D2" w:rsidRDefault="00C418D2" w:rsidP="00C418D2">
      <w:pPr>
        <w:rPr>
          <w:szCs w:val="28"/>
        </w:rPr>
      </w:pPr>
    </w:p>
    <w:p w:rsidR="00C418D2" w:rsidRDefault="00C418D2" w:rsidP="00C418D2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Структура </w:t>
      </w:r>
    </w:p>
    <w:p w:rsidR="00C418D2" w:rsidRDefault="00C418D2" w:rsidP="00C418D2">
      <w:pPr>
        <w:jc w:val="center"/>
        <w:rPr>
          <w:szCs w:val="28"/>
        </w:rPr>
      </w:pPr>
      <w:r>
        <w:rPr>
          <w:szCs w:val="28"/>
        </w:rPr>
        <w:t>Министерства экономического развития и промышленности                      Республики Карелия</w:t>
      </w:r>
    </w:p>
    <w:p w:rsidR="00C418D2" w:rsidRDefault="00C418D2" w:rsidP="00C418D2">
      <w:pPr>
        <w:jc w:val="center"/>
        <w:rPr>
          <w:szCs w:val="28"/>
        </w:rPr>
      </w:pP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Первый заместитель Министра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Заместитель Министра – начальник управления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прогнозирования экономического развития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экономического анализа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поддержки инфраструктурных проектов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промышленности и торговли</w:t>
      </w:r>
    </w:p>
    <w:p w:rsidR="00C418D2" w:rsidRDefault="00C418D2" w:rsidP="00C418D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Управление административной реформы, лицензирования и регулирования контрактной системы в сфере закупок:</w:t>
      </w:r>
    </w:p>
    <w:p w:rsidR="00C418D2" w:rsidRDefault="00C418D2" w:rsidP="00C418D2">
      <w:pPr>
        <w:ind w:firstLine="567"/>
        <w:jc w:val="both"/>
        <w:rPr>
          <w:szCs w:val="28"/>
        </w:rPr>
      </w:pPr>
      <w:r>
        <w:rPr>
          <w:szCs w:val="28"/>
        </w:rPr>
        <w:t>отдел административной реформы и лицензионной работы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методологии, мониторинга и анализа закупок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инвестиционной политики и развития предпринимательства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международного сотрудничества</w:t>
      </w:r>
    </w:p>
    <w:p w:rsidR="00C418D2" w:rsidRDefault="00C418D2" w:rsidP="00C418D2">
      <w:pPr>
        <w:ind w:firstLine="567"/>
        <w:jc w:val="both"/>
        <w:rPr>
          <w:szCs w:val="28"/>
        </w:rPr>
      </w:pPr>
      <w:r>
        <w:rPr>
          <w:szCs w:val="28"/>
        </w:rPr>
        <w:t xml:space="preserve">Управление делами: </w:t>
      </w:r>
    </w:p>
    <w:p w:rsidR="00C418D2" w:rsidRDefault="00C418D2" w:rsidP="00C418D2">
      <w:pPr>
        <w:ind w:firstLine="567"/>
        <w:jc w:val="both"/>
        <w:rPr>
          <w:szCs w:val="28"/>
        </w:rPr>
      </w:pPr>
      <w:r>
        <w:rPr>
          <w:szCs w:val="28"/>
        </w:rPr>
        <w:t>отдел организационной и правовой работы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финансового обеспечения</w:t>
      </w:r>
    </w:p>
    <w:p w:rsidR="00C418D2" w:rsidRDefault="00C418D2" w:rsidP="00C418D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Отдел мобилизационной подготовки экономики </w:t>
      </w:r>
    </w:p>
    <w:p w:rsidR="00C418D2" w:rsidRDefault="00C418D2" w:rsidP="00C418D2">
      <w:pPr>
        <w:ind w:firstLine="567"/>
        <w:jc w:val="both"/>
        <w:rPr>
          <w:szCs w:val="28"/>
        </w:rPr>
      </w:pPr>
    </w:p>
    <w:p w:rsidR="00C418D2" w:rsidRDefault="00C418D2" w:rsidP="00C418D2">
      <w:pPr>
        <w:ind w:firstLine="567"/>
        <w:jc w:val="both"/>
        <w:rPr>
          <w:szCs w:val="28"/>
        </w:rPr>
      </w:pPr>
      <w:r>
        <w:rPr>
          <w:szCs w:val="28"/>
        </w:rPr>
        <w:t>Всего численность – 65 единиц</w:t>
      </w:r>
      <w:proofErr w:type="gramStart"/>
      <w:r>
        <w:rPr>
          <w:szCs w:val="28"/>
        </w:rPr>
        <w:t>.».</w:t>
      </w:r>
      <w:proofErr w:type="gramEnd"/>
    </w:p>
    <w:p w:rsidR="00C418D2" w:rsidRDefault="00C418D2" w:rsidP="00C418D2">
      <w:pPr>
        <w:ind w:right="140" w:firstLine="567"/>
        <w:jc w:val="both"/>
        <w:rPr>
          <w:szCs w:val="28"/>
        </w:rPr>
      </w:pPr>
    </w:p>
    <w:p w:rsidR="00C418D2" w:rsidRDefault="00C418D2" w:rsidP="00C418D2">
      <w:pPr>
        <w:rPr>
          <w:szCs w:val="24"/>
        </w:rPr>
      </w:pPr>
    </w:p>
    <w:p w:rsidR="00C418D2" w:rsidRDefault="00C418D2" w:rsidP="00C418D2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C418D2" w:rsidRDefault="00C418D2" w:rsidP="00C418D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FD5DE2" w:rsidRDefault="00FD5DE2" w:rsidP="00FD5DE2">
      <w:pPr>
        <w:rPr>
          <w:szCs w:val="24"/>
        </w:rPr>
      </w:pPr>
    </w:p>
    <w:p w:rsidR="001E5A42" w:rsidRDefault="008507AF" w:rsidP="00C418D2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3050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D3050D">
        <w:pPr>
          <w:pStyle w:val="a6"/>
          <w:jc w:val="center"/>
        </w:pPr>
        <w:fldSimple w:instr=" PAGE   \* MERGEFORMAT ">
          <w:r w:rsidR="00D23453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B5460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418D2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453"/>
    <w:rsid w:val="00D2366F"/>
    <w:rsid w:val="00D24154"/>
    <w:rsid w:val="00D24B91"/>
    <w:rsid w:val="00D3050D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D5DC-DA24-418C-A340-7ED027A3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2019-08-01T08:12:00Z</cp:lastPrinted>
  <dcterms:created xsi:type="dcterms:W3CDTF">2019-07-26T09:40:00Z</dcterms:created>
  <dcterms:modified xsi:type="dcterms:W3CDTF">2019-08-01T08:12:00Z</dcterms:modified>
</cp:coreProperties>
</file>