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54" w:rsidRPr="00815D54" w:rsidRDefault="00815D54" w:rsidP="00815D54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A19"/>
          <w:sz w:val="45"/>
          <w:szCs w:val="45"/>
          <w:lang w:eastAsia="ru-RU"/>
        </w:rPr>
      </w:pPr>
      <w:r w:rsidRPr="00815D54">
        <w:rPr>
          <w:rFonts w:ascii="Times New Roman" w:eastAsia="Times New Roman" w:hAnsi="Times New Roman" w:cs="Times New Roman"/>
          <w:b/>
          <w:bCs/>
          <w:color w:val="1B1A19"/>
          <w:sz w:val="45"/>
          <w:szCs w:val="45"/>
          <w:lang w:eastAsia="ru-RU"/>
        </w:rPr>
        <w:t>Утверждена гос. программа «Комплексное развитие сельских территорий»</w:t>
      </w:r>
    </w:p>
    <w:p w:rsidR="00815D54" w:rsidRPr="00815D54" w:rsidRDefault="00815D54" w:rsidP="00815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15"/>
          <w:sz w:val="18"/>
          <w:szCs w:val="18"/>
          <w:lang w:eastAsia="ru-RU"/>
        </w:rPr>
      </w:pPr>
    </w:p>
    <w:p w:rsidR="00815D54" w:rsidRPr="00815D54" w:rsidRDefault="00815D54" w:rsidP="00815D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position w:val="15"/>
          <w:sz w:val="18"/>
          <w:szCs w:val="18"/>
          <w:lang w:eastAsia="ru-RU"/>
        </w:rPr>
      </w:pPr>
      <w:r w:rsidRPr="00815D54">
        <w:rPr>
          <w:rFonts w:ascii="Times New Roman" w:eastAsia="Times New Roman" w:hAnsi="Times New Roman" w:cs="Times New Roman"/>
          <w:position w:val="15"/>
          <w:sz w:val="18"/>
          <w:szCs w:val="18"/>
          <w:lang w:eastAsia="ru-RU"/>
        </w:rPr>
        <w:t> </w:t>
      </w:r>
    </w:p>
    <w:p w:rsidR="00815D54" w:rsidRPr="00815D54" w:rsidRDefault="00815D54" w:rsidP="00815D54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</w:pPr>
      <w:hyperlink r:id="rId5" w:history="1">
        <w:r w:rsidRPr="00815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РФ от 31 мая 2019 года № 696</w:t>
        </w:r>
      </w:hyperlink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> утверждена государственная программа «Комплексное развитие сельских территорий».</w:t>
      </w:r>
    </w:p>
    <w:p w:rsidR="00815D54" w:rsidRPr="00815D54" w:rsidRDefault="00815D54" w:rsidP="00815D54">
      <w:pPr>
        <w:spacing w:after="450" w:line="390" w:lineRule="atLeast"/>
        <w:textAlignment w:val="baseline"/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</w:pPr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>Основные цели госпрограммы – сохранение доли сельского населения в общей численности населения России на уровне не менее 25,3%, достижение соотношения среднемесячных располагаемых ресурсов сельского и городского домохозяйств до 80%, повышение доли общей площади благоустроенных жилых помещений в сельских населённых пунктах до 50%.</w:t>
      </w:r>
    </w:p>
    <w:p w:rsidR="00815D54" w:rsidRPr="00815D54" w:rsidRDefault="00815D54" w:rsidP="00815D54">
      <w:pPr>
        <w:spacing w:after="450" w:line="390" w:lineRule="atLeast"/>
        <w:textAlignment w:val="baseline"/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</w:pPr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>Госпрограмма состоит из проектной и процессной частей.</w:t>
      </w:r>
    </w:p>
    <w:p w:rsidR="00815D54" w:rsidRPr="00815D54" w:rsidRDefault="00815D54" w:rsidP="00815D54">
      <w:pPr>
        <w:spacing w:after="450" w:line="390" w:lineRule="atLeast"/>
        <w:textAlignment w:val="baseline"/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</w:pPr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>В проектную часть госпрограммы включены пять ведомственных проектов: «Развитие жилищного строительства на сельских территориях и повышение уровня благоустройства домовладений», «Содействие занятости сельского населения», «Развитие инженерной инфраструктуры на сельских территориях», «Развитие транспортной инфраструктуры на сельских территориях», «Благоустройство сельских территорий».</w:t>
      </w:r>
    </w:p>
    <w:p w:rsidR="00815D54" w:rsidRPr="00815D54" w:rsidRDefault="00815D54" w:rsidP="00815D54">
      <w:pPr>
        <w:spacing w:after="450" w:line="390" w:lineRule="atLeast"/>
        <w:textAlignment w:val="baseline"/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</w:pPr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>К процессной части отнесены три ведомственные целевые программы: «Обеспечение государственного мониторинга сельских территорий», «Аналитическая и информационная поддержка комплексного развития сельских территорий», «Современный облик сельских территорий».</w:t>
      </w:r>
    </w:p>
    <w:p w:rsidR="00815D54" w:rsidRPr="00815D54" w:rsidRDefault="00815D54" w:rsidP="00815D54">
      <w:pPr>
        <w:spacing w:after="450" w:line="390" w:lineRule="atLeast"/>
        <w:textAlignment w:val="baseline"/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</w:pPr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 xml:space="preserve">В госпрограмму включена информация по опережающему развитию приоритетных территорий – субъектов Российской Федерации, входящих в Дальневосточный и </w:t>
      </w:r>
      <w:proofErr w:type="gramStart"/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>Северо-Кавказский</w:t>
      </w:r>
      <w:proofErr w:type="gramEnd"/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 xml:space="preserve"> федеральные округа, Республики Крым, Севастополя, Калининградской области, субъектов РФ, отдельные территории которых входят в состав Арктической зоны России.</w:t>
      </w:r>
    </w:p>
    <w:p w:rsidR="001873EA" w:rsidRDefault="00815D54" w:rsidP="00815D54">
      <w:pPr>
        <w:spacing w:after="450" w:line="390" w:lineRule="atLeast"/>
        <w:textAlignment w:val="baseline"/>
      </w:pPr>
      <w:r w:rsidRPr="00815D54">
        <w:rPr>
          <w:rFonts w:ascii="Times New Roman" w:eastAsia="Times New Roman" w:hAnsi="Times New Roman" w:cs="Times New Roman"/>
          <w:color w:val="1A1A18"/>
          <w:sz w:val="28"/>
          <w:szCs w:val="28"/>
          <w:lang w:eastAsia="ru-RU"/>
        </w:rPr>
        <w:t>Срок реализации госпрограммы: 2020–2025 годы. Общий объем финансирования госпрограммы в 2020–2025 годах – около 2,3 трлн рублей, в том числе за счет федерального бюджета – 1 трлн. рублей.</w:t>
      </w:r>
      <w:bookmarkStart w:id="0" w:name="_GoBack"/>
      <w:bookmarkEnd w:id="0"/>
    </w:p>
    <w:sectPr w:rsidR="0018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4306"/>
    <w:multiLevelType w:val="multilevel"/>
    <w:tmpl w:val="F48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B"/>
    <w:rsid w:val="001873EA"/>
    <w:rsid w:val="001D2E0B"/>
    <w:rsid w:val="008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FF0F"/>
  <w15:chartTrackingRefBased/>
  <w15:docId w15:val="{32DF16F9-3F1B-42E6-9B50-E042E4C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697">
                  <w:marLeft w:val="0"/>
                  <w:marRight w:val="1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5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ac8hAPBAbVFp4AondlRZJwBvLaX33rX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2019-06-17T09:14:00Z</dcterms:created>
  <dcterms:modified xsi:type="dcterms:W3CDTF">2019-06-17T09:14:00Z</dcterms:modified>
</cp:coreProperties>
</file>